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sz w:val="28"/>
          <w:szCs w:val="24"/>
        </w:rPr>
      </w:pPr>
    </w:p>
    <w:tbl>
      <w:tblPr>
        <w:tblStyle w:val="17"/>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454" w:hRule="atLeast"/>
        </w:trPr>
        <w:tc>
          <w:tcPr>
            <w:tcW w:w="2080" w:type="dxa"/>
            <w:vAlign w:val="center"/>
          </w:tcPr>
          <w:p>
            <w:pPr>
              <w:snapToGrid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批准立项年份</w:t>
            </w:r>
          </w:p>
        </w:tc>
        <w:tc>
          <w:tcPr>
            <w:tcW w:w="1800" w:type="dxa"/>
            <w:vAlign w:val="center"/>
          </w:tcPr>
          <w:p>
            <w:pPr>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2008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通过验收年份</w:t>
            </w:r>
          </w:p>
        </w:tc>
        <w:tc>
          <w:tcPr>
            <w:tcW w:w="1800" w:type="dxa"/>
            <w:vAlign w:val="center"/>
          </w:tcPr>
          <w:p>
            <w:pPr>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2012</w:t>
            </w:r>
          </w:p>
        </w:tc>
      </w:tr>
    </w:tbl>
    <w:p>
      <w:pPr>
        <w:rPr>
          <w:rFonts w:ascii="Times New Roman" w:hAnsi="Times New Roman" w:eastAsia="楷体_GB2312" w:cs="Times New Roman"/>
          <w:sz w:val="28"/>
          <w:szCs w:val="24"/>
        </w:rPr>
      </w:pPr>
    </w:p>
    <w:p>
      <w:pPr>
        <w:rPr>
          <w:rFonts w:ascii="Times New Roman" w:hAnsi="Times New Roman" w:eastAsia="楷体_GB2312" w:cs="Times New Roman"/>
          <w:sz w:val="28"/>
          <w:szCs w:val="24"/>
        </w:rPr>
      </w:pPr>
    </w:p>
    <w:p>
      <w:pP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r>
        <w:rPr>
          <w:rFonts w:ascii="Times New Roman" w:hAnsi="Times New Roman" w:eastAsia="黑体" w:cs="Times New Roman"/>
          <w:b/>
          <w:sz w:val="44"/>
          <w:szCs w:val="24"/>
        </w:rPr>
        <w:t>教育部重点实验室年度报告</w:t>
      </w:r>
    </w:p>
    <w:p>
      <w:pPr>
        <w:jc w:val="center"/>
        <w:rPr>
          <w:rFonts w:ascii="Times New Roman" w:hAnsi="Times New Roman" w:eastAsia="楷体_GB2312" w:cs="Times New Roman"/>
          <w:sz w:val="28"/>
          <w:szCs w:val="24"/>
        </w:rPr>
      </w:pPr>
      <w:r>
        <w:rPr>
          <w:rFonts w:ascii="Times New Roman" w:hAnsi="Times New Roman" w:eastAsia="楷体_GB2312" w:cs="Times New Roman"/>
          <w:sz w:val="28"/>
          <w:szCs w:val="24"/>
        </w:rPr>
        <w:t>（  20</w:t>
      </w:r>
      <w:r>
        <w:rPr>
          <w:rFonts w:hint="eastAsia" w:ascii="Times New Roman" w:hAnsi="Times New Roman" w:eastAsia="楷体_GB2312" w:cs="Times New Roman"/>
          <w:sz w:val="28"/>
          <w:szCs w:val="24"/>
        </w:rPr>
        <w:t>17</w:t>
      </w:r>
      <w:r>
        <w:rPr>
          <w:rFonts w:ascii="Times New Roman" w:hAnsi="Times New Roman" w:eastAsia="楷体_GB2312" w:cs="Times New Roman"/>
          <w:sz w:val="28"/>
          <w:szCs w:val="24"/>
        </w:rPr>
        <w:t>年1月——  20</w:t>
      </w:r>
      <w:r>
        <w:rPr>
          <w:rFonts w:hint="eastAsia" w:ascii="Times New Roman" w:hAnsi="Times New Roman" w:eastAsia="楷体_GB2312" w:cs="Times New Roman"/>
          <w:sz w:val="28"/>
          <w:szCs w:val="24"/>
        </w:rPr>
        <w:t>17</w:t>
      </w:r>
      <w:r>
        <w:rPr>
          <w:rFonts w:ascii="Times New Roman" w:hAnsi="Times New Roman" w:eastAsia="楷体_GB2312" w:cs="Times New Roman"/>
          <w:sz w:val="28"/>
          <w:szCs w:val="24"/>
        </w:rPr>
        <w:t>年12月）</w:t>
      </w:r>
    </w:p>
    <w:p>
      <w:pPr>
        <w:rPr>
          <w:rFonts w:ascii="Times New Roman" w:hAnsi="Times New Roman" w:eastAsia="楷体_GB2312" w:cs="Times New Roman"/>
          <w:sz w:val="28"/>
          <w:szCs w:val="24"/>
        </w:rPr>
      </w:pPr>
    </w:p>
    <w:p>
      <w:pPr>
        <w:rPr>
          <w:rFonts w:ascii="Times New Roman" w:hAnsi="Times New Roman" w:eastAsia="楷体_GB2312" w:cs="Times New Roman"/>
          <w:sz w:val="28"/>
          <w:szCs w:val="24"/>
        </w:rPr>
      </w:pPr>
    </w:p>
    <w:p>
      <w:pPr>
        <w:rPr>
          <w:rFonts w:ascii="Times New Roman" w:hAnsi="Times New Roman" w:eastAsia="楷体_GB2312" w:cs="Times New Roman"/>
          <w:b/>
          <w:sz w:val="28"/>
          <w:szCs w:val="24"/>
        </w:rPr>
      </w:pP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实验室名称：</w:t>
      </w:r>
      <w:r>
        <w:rPr>
          <w:rFonts w:hint="eastAsia" w:ascii="宋体" w:hAnsi="宋体" w:eastAsia="宋体" w:cs="宋体"/>
          <w:b/>
          <w:sz w:val="28"/>
          <w:szCs w:val="24"/>
        </w:rPr>
        <w:t>环境污染过程与基准教育部重点实验室（南开大学）</w:t>
      </w: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实验室主任：</w:t>
      </w:r>
      <w:r>
        <w:rPr>
          <w:rFonts w:hint="eastAsia" w:ascii="宋体" w:hAnsi="宋体" w:eastAsia="宋体" w:cs="宋体"/>
          <w:b/>
          <w:sz w:val="28"/>
          <w:szCs w:val="24"/>
        </w:rPr>
        <w:t>罗义</w:t>
      </w: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实验室联系人/联系电话：</w:t>
      </w:r>
      <w:r>
        <w:rPr>
          <w:rFonts w:hint="eastAsia" w:ascii="楷体" w:hAnsi="楷体" w:eastAsia="楷体" w:cs="宋体"/>
          <w:b/>
          <w:sz w:val="28"/>
          <w:szCs w:val="24"/>
        </w:rPr>
        <w:t>刘晓玲</w:t>
      </w:r>
      <w:r>
        <w:rPr>
          <w:rFonts w:ascii="楷体" w:hAnsi="楷体" w:eastAsia="楷体" w:cs="宋体"/>
          <w:b/>
          <w:sz w:val="28"/>
          <w:szCs w:val="24"/>
        </w:rPr>
        <w:t>/18622993296</w:t>
      </w: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E-mail地址：</w:t>
      </w:r>
      <w:r>
        <w:fldChar w:fldCharType="begin"/>
      </w:r>
      <w:r>
        <w:instrText xml:space="preserve">HYPERLINK "mailto:liuxiaoling513@nankai.edu.cn" </w:instrText>
      </w:r>
      <w:r>
        <w:fldChar w:fldCharType="separate"/>
      </w:r>
      <w:r>
        <w:rPr>
          <w:rStyle w:val="14"/>
          <w:rFonts w:ascii="楷体" w:hAnsi="楷体" w:eastAsia="楷体"/>
          <w:b/>
          <w:color w:val="auto"/>
          <w:sz w:val="28"/>
          <w:szCs w:val="24"/>
        </w:rPr>
        <w:t>liuxiaoling513@nankai.edu.cn</w:t>
      </w:r>
      <w:r>
        <w:fldChar w:fldCharType="end"/>
      </w: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依托单位名称：</w:t>
      </w:r>
      <w:r>
        <w:rPr>
          <w:rFonts w:hint="eastAsia" w:ascii="宋体" w:hAnsi="宋体" w:eastAsia="宋体" w:cs="宋体"/>
          <w:b/>
          <w:sz w:val="28"/>
          <w:szCs w:val="24"/>
        </w:rPr>
        <w:t>南开大学</w:t>
      </w:r>
    </w:p>
    <w:p>
      <w:pPr>
        <w:spacing w:before="120" w:after="120" w:line="440" w:lineRule="exact"/>
        <w:rPr>
          <w:rFonts w:ascii="Times New Roman" w:hAnsi="Times New Roman" w:eastAsia="楷体_GB2312" w:cs="Times New Roman"/>
          <w:b/>
          <w:sz w:val="28"/>
          <w:szCs w:val="24"/>
        </w:rPr>
      </w:pPr>
      <w:r>
        <w:rPr>
          <w:rFonts w:ascii="Times New Roman" w:hAnsi="Times New Roman" w:eastAsia="楷体_GB2312" w:cs="Times New Roman"/>
          <w:b/>
          <w:sz w:val="28"/>
          <w:szCs w:val="24"/>
        </w:rPr>
        <w:t>依托单位联系人/联系电话：</w:t>
      </w:r>
      <w:r>
        <w:rPr>
          <w:rFonts w:hint="eastAsia" w:ascii="楷体" w:hAnsi="楷体" w:eastAsia="楷体" w:cs="宋体"/>
          <w:b/>
          <w:sz w:val="28"/>
          <w:szCs w:val="24"/>
        </w:rPr>
        <w:t>孙彬</w:t>
      </w:r>
      <w:r>
        <w:rPr>
          <w:rFonts w:ascii="楷体" w:hAnsi="楷体" w:eastAsia="楷体" w:cs="宋体"/>
          <w:b/>
          <w:sz w:val="28"/>
          <w:szCs w:val="24"/>
        </w:rPr>
        <w:t>/022-</w:t>
      </w:r>
      <w:r>
        <w:rPr>
          <w:rFonts w:hint="eastAsia" w:ascii="楷体" w:hAnsi="楷体" w:eastAsia="楷体" w:cs="宋体"/>
          <w:b/>
          <w:sz w:val="28"/>
          <w:szCs w:val="24"/>
        </w:rPr>
        <w:t>8535</w:t>
      </w:r>
      <w:r>
        <w:rPr>
          <w:rFonts w:ascii="楷体" w:hAnsi="楷体" w:eastAsia="楷体" w:cs="宋体"/>
          <w:b/>
          <w:sz w:val="28"/>
          <w:szCs w:val="24"/>
        </w:rPr>
        <w:t>8472</w:t>
      </w: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p>
    <w:p>
      <w:pPr>
        <w:jc w:val="center"/>
        <w:rPr>
          <w:rFonts w:ascii="Times New Roman" w:hAnsi="Times New Roman" w:eastAsia="楷体_GB2312" w:cs="Times New Roman"/>
          <w:sz w:val="28"/>
          <w:szCs w:val="24"/>
        </w:rPr>
      </w:pPr>
      <w:r>
        <w:rPr>
          <w:rFonts w:hint="eastAsia" w:ascii="宋体" w:hAnsi="宋体" w:eastAsia="宋体" w:cs="宋体"/>
          <w:sz w:val="28"/>
          <w:szCs w:val="24"/>
        </w:rPr>
        <w:t>2018</w:t>
      </w:r>
      <w:r>
        <w:rPr>
          <w:rFonts w:ascii="Times New Roman" w:hAnsi="Times New Roman" w:eastAsia="楷体_GB2312" w:cs="Times New Roman"/>
          <w:sz w:val="28"/>
          <w:szCs w:val="24"/>
        </w:rPr>
        <w:t xml:space="preserve">年  </w:t>
      </w:r>
      <w:r>
        <w:rPr>
          <w:rFonts w:hint="eastAsia" w:ascii="Times New Roman" w:hAnsi="Times New Roman" w:eastAsia="楷体_GB2312" w:cs="Times New Roman"/>
          <w:sz w:val="28"/>
          <w:szCs w:val="24"/>
        </w:rPr>
        <w:t>2</w:t>
      </w:r>
      <w:r>
        <w:rPr>
          <w:rFonts w:ascii="Times New Roman" w:hAnsi="Times New Roman" w:eastAsia="楷体_GB2312" w:cs="Times New Roman"/>
          <w:sz w:val="28"/>
          <w:szCs w:val="24"/>
        </w:rPr>
        <w:t xml:space="preserve"> 月28</w:t>
      </w:r>
      <w:r>
        <w:rPr>
          <w:rFonts w:hint="eastAsia" w:ascii="Times New Roman" w:hAnsi="Times New Roman" w:eastAsia="楷体_GB2312" w:cs="Times New Roman"/>
          <w:sz w:val="28"/>
          <w:szCs w:val="24"/>
        </w:rPr>
        <w:t xml:space="preserve"> </w:t>
      </w:r>
      <w:r>
        <w:rPr>
          <w:rFonts w:ascii="Times New Roman" w:hAnsi="Times New Roman" w:eastAsia="楷体_GB2312" w:cs="Times New Roman"/>
          <w:sz w:val="28"/>
          <w:szCs w:val="24"/>
        </w:rPr>
        <w:t>日填报</w:t>
      </w:r>
    </w:p>
    <w:p>
      <w:pPr>
        <w:spacing w:before="120" w:after="120"/>
        <w:rPr>
          <w:rFonts w:ascii="Times New Roman" w:hAnsi="Times New Roman" w:eastAsia="楷体_GB2312" w:cs="Times New Roman"/>
          <w:b/>
          <w:sz w:val="24"/>
          <w:szCs w:val="24"/>
        </w:rPr>
      </w:pPr>
    </w:p>
    <w:p>
      <w:pPr>
        <w:widowControl/>
        <w:jc w:val="left"/>
        <w:rPr>
          <w:rFonts w:ascii="Times New Roman" w:hAnsi="Times New Roman" w:eastAsia="楷体_GB2312" w:cs="Times New Roman"/>
          <w:b/>
          <w:sz w:val="24"/>
          <w:szCs w:val="24"/>
        </w:rPr>
      </w:pPr>
      <w:r>
        <w:rPr>
          <w:rFonts w:ascii="Times New Roman" w:hAnsi="Times New Roman" w:eastAsia="楷体_GB2312" w:cs="Times New Roman"/>
          <w:b/>
          <w:sz w:val="24"/>
          <w:szCs w:val="24"/>
        </w:rPr>
        <w:br w:type="page"/>
      </w:r>
    </w:p>
    <w:p>
      <w:pPr>
        <w:adjustRightInd w:val="0"/>
        <w:snapToGrid w:val="0"/>
        <w:spacing w:afterLines="10"/>
        <w:jc w:val="center"/>
        <w:rPr>
          <w:rFonts w:ascii="Times New Roman" w:hAnsi="Times New Roman" w:eastAsia="黑体" w:cs="Times New Roman"/>
          <w:sz w:val="32"/>
          <w:szCs w:val="26"/>
        </w:rPr>
      </w:pPr>
      <w:r>
        <w:rPr>
          <w:rFonts w:ascii="Times New Roman" w:hAnsi="Times New Roman" w:eastAsia="黑体" w:cs="Times New Roman"/>
          <w:sz w:val="32"/>
          <w:szCs w:val="26"/>
        </w:rPr>
        <w:t>填写说明</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一、年度报告中各项指标只统计当年产生的数据，起止时间为1月1日至12月31日。年度报告的</w:t>
      </w:r>
      <w:r>
        <w:rPr>
          <w:rFonts w:ascii="Times New Roman" w:hAnsi="Times New Roman" w:eastAsia="仿宋_GB2312" w:cs="Times New Roman"/>
          <w:sz w:val="26"/>
          <w:szCs w:val="26"/>
          <w:em w:val="dot"/>
        </w:rPr>
        <w:t>表格行数可据实调整</w:t>
      </w:r>
      <w:r>
        <w:rPr>
          <w:rFonts w:ascii="Times New Roman" w:hAnsi="Times New Roman" w:eastAsia="仿宋_GB2312" w:cs="Times New Roman"/>
          <w:sz w:val="26"/>
          <w:szCs w:val="26"/>
        </w:rPr>
        <w:t>，不设附件，请做好相关成果支撑材料的存档工作。年度报告经依托高校考核通过后，于次年3月31日前在实验室网站公开。</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二、</w:t>
      </w:r>
      <w:r>
        <w:rPr>
          <w:rFonts w:ascii="Times New Roman" w:hAnsi="Times New Roman" w:eastAsia="仿宋_GB2312" w:cs="Times New Roman"/>
          <w:b/>
          <w:sz w:val="26"/>
          <w:szCs w:val="26"/>
        </w:rPr>
        <w:t>“研究水平与贡献”</w:t>
      </w:r>
      <w:r>
        <w:rPr>
          <w:rFonts w:ascii="Times New Roman" w:hAnsi="Times New Roman" w:eastAsia="仿宋_GB2312" w:cs="Times New Roman"/>
          <w:sz w:val="26"/>
          <w:szCs w:val="26"/>
        </w:rPr>
        <w:t>栏中，各项统计数据均为</w:t>
      </w:r>
      <w:r>
        <w:rPr>
          <w:rFonts w:ascii="Times New Roman" w:hAnsi="Times New Roman" w:eastAsia="仿宋_GB2312" w:cs="Times New Roman"/>
          <w:sz w:val="26"/>
          <w:szCs w:val="26"/>
          <w:em w:val="dot"/>
        </w:rPr>
        <w:t>本年度</w:t>
      </w:r>
      <w:r>
        <w:rPr>
          <w:rFonts w:ascii="Times New Roman" w:hAnsi="Times New Roman" w:eastAsia="仿宋_GB2312" w:cs="Times New Roman"/>
          <w:sz w:val="26"/>
          <w:szCs w:val="26"/>
        </w:rPr>
        <w:t>由实验室人员在本实验室完成的重大科研成果，以及通过国内外合作研究取得的重要成果。其中：</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1.</w:t>
      </w:r>
      <w:r>
        <w:rPr>
          <w:rFonts w:ascii="Times New Roman" w:hAnsi="Times New Roman" w:eastAsia="仿宋_GB2312" w:cs="Times New Roman"/>
          <w:b/>
          <w:sz w:val="26"/>
          <w:szCs w:val="26"/>
        </w:rPr>
        <w:t>“论文与专著”</w:t>
      </w:r>
      <w:r>
        <w:rPr>
          <w:rFonts w:ascii="Times New Roman" w:hAnsi="Times New Roman" w:eastAsia="仿宋_GB2312" w:cs="Times New Roman"/>
          <w:sz w:val="26"/>
          <w:szCs w:val="26"/>
        </w:rPr>
        <w:t>栏中，成果署名须有实验室。专著指正式出版的学术著作，不包括译著、论文集等。未正式发表的论文、专著不得统计。</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2.</w:t>
      </w:r>
      <w:r>
        <w:rPr>
          <w:rFonts w:ascii="Times New Roman" w:hAnsi="Times New Roman" w:eastAsia="仿宋_GB2312" w:cs="Times New Roman"/>
          <w:b/>
          <w:sz w:val="26"/>
          <w:szCs w:val="26"/>
        </w:rPr>
        <w:t xml:space="preserve"> “奖励”</w:t>
      </w:r>
      <w:r>
        <w:rPr>
          <w:rFonts w:ascii="Times New Roman" w:hAnsi="Times New Roman" w:eastAsia="仿宋_GB2312" w:cs="Times New Roman"/>
          <w:sz w:val="26"/>
          <w:szCs w:val="26"/>
        </w:rPr>
        <w:t>栏中，取奖项排名最靠前的实验室人员，按照其排名计算系数。系数计算方式为：1/实验室最靠前人员排名。例如：在某奖项的获奖人员中，排名最靠前的实验室人员为第一完成人，则系数为1；若排名最靠前的为第二完成人，则系数为1/2=0.5。实验室在年度内获某项奖励多次的，系数累加计算。部委（省）级奖指部委（省）级对应国家科学技术奖相应系列奖。一个成果若获两级奖励，填报最高级者。未正式批准的奖励不统计。</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3.</w:t>
      </w:r>
      <w:r>
        <w:rPr>
          <w:rFonts w:ascii="Times New Roman" w:hAnsi="Times New Roman" w:eastAsia="仿宋_GB2312" w:cs="Times New Roman"/>
          <w:b/>
          <w:sz w:val="26"/>
          <w:szCs w:val="26"/>
        </w:rPr>
        <w:t>“承担任务研究经费”</w:t>
      </w:r>
      <w:r>
        <w:rPr>
          <w:rFonts w:ascii="Times New Roman" w:hAnsi="Times New Roman" w:eastAsia="仿宋_GB2312" w:cs="Times New Roman"/>
          <w:sz w:val="26"/>
          <w:szCs w:val="26"/>
        </w:rPr>
        <w:t>指本年度内实验室实际到账的研究经费、运行补助费和设备更新费。</w:t>
      </w:r>
    </w:p>
    <w:p>
      <w:pPr>
        <w:adjustRightInd w:val="0"/>
        <w:snapToGrid w:val="0"/>
        <w:spacing w:afterLines="10"/>
        <w:ind w:firstLine="520" w:firstLineChars="200"/>
        <w:rPr>
          <w:rFonts w:ascii="Times New Roman" w:hAnsi="Times New Roman" w:eastAsia="仿宋_GB2312" w:cs="Times New Roman"/>
          <w:sz w:val="26"/>
          <w:szCs w:val="26"/>
        </w:rPr>
      </w:pPr>
      <w:r>
        <w:rPr>
          <w:rFonts w:hint="eastAsia" w:ascii="Times New Roman" w:hAnsi="Times New Roman" w:eastAsia="仿宋_GB2312" w:cs="Times New Roman"/>
          <w:sz w:val="26"/>
          <w:szCs w:val="26"/>
        </w:rPr>
        <w:t>4</w:t>
      </w:r>
      <w:r>
        <w:rPr>
          <w:rFonts w:ascii="Times New Roman" w:hAnsi="Times New Roman" w:eastAsia="仿宋_GB2312" w:cs="Times New Roman"/>
          <w:sz w:val="26"/>
          <w:szCs w:val="26"/>
        </w:rPr>
        <w:t>.</w:t>
      </w:r>
      <w:r>
        <w:rPr>
          <w:rFonts w:ascii="Times New Roman" w:hAnsi="Times New Roman" w:eastAsia="仿宋_GB2312" w:cs="Times New Roman"/>
          <w:b/>
          <w:sz w:val="26"/>
          <w:szCs w:val="26"/>
        </w:rPr>
        <w:t>“发明专利与成果转化”</w:t>
      </w:r>
      <w:r>
        <w:rPr>
          <w:rFonts w:ascii="Times New Roman" w:hAnsi="Times New Roman" w:eastAsia="仿宋_GB2312" w:cs="Times New Roman"/>
          <w:sz w:val="26"/>
          <w:szCs w:val="26"/>
        </w:rPr>
        <w:t>栏中，某些行业批准的具有知识产权意义的国家级证书（如：新医药、新农药、新软件证书等）视同发明专利填报。国内外同内容专利不得重复统计。</w:t>
      </w:r>
    </w:p>
    <w:p>
      <w:pPr>
        <w:adjustRightInd w:val="0"/>
        <w:snapToGrid w:val="0"/>
        <w:spacing w:afterLines="10"/>
        <w:ind w:firstLine="520" w:firstLineChars="200"/>
        <w:rPr>
          <w:rFonts w:ascii="Times New Roman" w:hAnsi="Times New Roman" w:eastAsia="仿宋_GB2312" w:cs="Times New Roman"/>
          <w:sz w:val="26"/>
          <w:szCs w:val="26"/>
        </w:rPr>
      </w:pPr>
      <w:r>
        <w:rPr>
          <w:rFonts w:hint="eastAsia" w:ascii="Times New Roman" w:hAnsi="Times New Roman" w:eastAsia="仿宋_GB2312" w:cs="Times New Roman"/>
          <w:sz w:val="26"/>
          <w:szCs w:val="26"/>
        </w:rPr>
        <w:t>5</w:t>
      </w:r>
      <w:r>
        <w:rPr>
          <w:rFonts w:ascii="Times New Roman" w:hAnsi="Times New Roman" w:eastAsia="仿宋_GB2312" w:cs="Times New Roman"/>
          <w:sz w:val="26"/>
          <w:szCs w:val="26"/>
        </w:rPr>
        <w:t>.</w:t>
      </w:r>
      <w:r>
        <w:rPr>
          <w:rFonts w:ascii="Times New Roman" w:hAnsi="Times New Roman" w:eastAsia="仿宋_GB2312" w:cs="Times New Roman"/>
          <w:b/>
          <w:sz w:val="26"/>
          <w:szCs w:val="26"/>
        </w:rPr>
        <w:t>“标准与规范”</w:t>
      </w:r>
      <w:r>
        <w:rPr>
          <w:rFonts w:ascii="Times New Roman" w:hAnsi="Times New Roman" w:eastAsia="仿宋_GB2312" w:cs="Times New Roman"/>
          <w:sz w:val="26"/>
          <w:szCs w:val="26"/>
        </w:rPr>
        <w:t>指参与制定国家标准、行业/地方标准的数量。</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三、</w:t>
      </w:r>
      <w:r>
        <w:rPr>
          <w:rFonts w:ascii="Times New Roman" w:hAnsi="Times New Roman" w:eastAsia="仿宋_GB2312" w:cs="Times New Roman"/>
          <w:b/>
          <w:sz w:val="26"/>
          <w:szCs w:val="26"/>
        </w:rPr>
        <w:t>“研究队伍建设”</w:t>
      </w:r>
      <w:r>
        <w:rPr>
          <w:rFonts w:ascii="Times New Roman" w:hAnsi="Times New Roman" w:eastAsia="仿宋_GB2312" w:cs="Times New Roman"/>
          <w:sz w:val="26"/>
          <w:szCs w:val="26"/>
        </w:rPr>
        <w:t>栏中：</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1.除特别说明统计年度数据外，均统计相关类型人员总数。固定人员指高等学校聘用的聘期2年以上的全职人员；流动人员指访问学者、博士后研究人员等。</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2.</w:t>
      </w:r>
      <w:r>
        <w:rPr>
          <w:rFonts w:ascii="Times New Roman" w:hAnsi="Times New Roman" w:eastAsia="仿宋_GB2312" w:cs="Times New Roman"/>
          <w:b/>
          <w:sz w:val="26"/>
          <w:szCs w:val="26"/>
        </w:rPr>
        <w:t>“40岁以下”</w:t>
      </w:r>
      <w:r>
        <w:rPr>
          <w:rFonts w:ascii="Times New Roman" w:hAnsi="Times New Roman" w:eastAsia="仿宋_GB2312" w:cs="Times New Roman"/>
          <w:sz w:val="26"/>
          <w:szCs w:val="26"/>
        </w:rPr>
        <w:t>是指截至当年年底，不超过40周岁。</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3.</w:t>
      </w:r>
      <w:r>
        <w:rPr>
          <w:rFonts w:ascii="Times New Roman" w:hAnsi="Times New Roman" w:eastAsia="仿宋_GB2312" w:cs="Times New Roman"/>
          <w:b/>
          <w:sz w:val="26"/>
          <w:szCs w:val="26"/>
        </w:rPr>
        <w:t>“科技人才”</w:t>
      </w:r>
      <w:r>
        <w:rPr>
          <w:rFonts w:ascii="Times New Roman" w:hAnsi="Times New Roman" w:eastAsia="仿宋_GB2312" w:cs="Times New Roman"/>
          <w:sz w:val="26"/>
          <w:szCs w:val="26"/>
        </w:rPr>
        <w:t>和</w:t>
      </w:r>
      <w:r>
        <w:rPr>
          <w:rFonts w:ascii="Times New Roman" w:hAnsi="Times New Roman" w:eastAsia="仿宋_GB2312" w:cs="Times New Roman"/>
          <w:b/>
          <w:sz w:val="26"/>
          <w:szCs w:val="26"/>
        </w:rPr>
        <w:t>“国际学术机构任职”</w:t>
      </w:r>
      <w:r>
        <w:rPr>
          <w:rFonts w:ascii="Times New Roman" w:hAnsi="Times New Roman" w:eastAsia="仿宋_GB2312" w:cs="Times New Roman"/>
          <w:sz w:val="26"/>
          <w:szCs w:val="26"/>
        </w:rPr>
        <w:t>栏，只统计</w:t>
      </w:r>
      <w:r>
        <w:rPr>
          <w:rFonts w:ascii="Times New Roman" w:hAnsi="Times New Roman" w:eastAsia="仿宋_GB2312" w:cs="Times New Roman"/>
          <w:sz w:val="26"/>
          <w:szCs w:val="26"/>
          <w:em w:val="dot"/>
        </w:rPr>
        <w:t>固定人员</w:t>
      </w:r>
      <w:r>
        <w:rPr>
          <w:rFonts w:ascii="Times New Roman" w:hAnsi="Times New Roman" w:eastAsia="仿宋_GB2312" w:cs="Times New Roman"/>
          <w:sz w:val="26"/>
          <w:szCs w:val="26"/>
        </w:rPr>
        <w:t>。</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4.</w:t>
      </w:r>
      <w:r>
        <w:rPr>
          <w:rFonts w:ascii="Times New Roman" w:hAnsi="Times New Roman" w:eastAsia="仿宋_GB2312" w:cs="Times New Roman"/>
          <w:b/>
          <w:sz w:val="26"/>
          <w:szCs w:val="26"/>
        </w:rPr>
        <w:t>“国际学术机构任职”</w:t>
      </w:r>
      <w:r>
        <w:rPr>
          <w:rFonts w:ascii="Times New Roman" w:hAnsi="Times New Roman" w:eastAsia="仿宋_GB2312" w:cs="Times New Roman"/>
          <w:sz w:val="26"/>
          <w:szCs w:val="26"/>
        </w:rPr>
        <w:t>指在国际学术组织和学术刊物任职情况。</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四、</w:t>
      </w:r>
      <w:r>
        <w:rPr>
          <w:rFonts w:ascii="Times New Roman" w:hAnsi="Times New Roman" w:eastAsia="仿宋_GB2312" w:cs="Times New Roman"/>
          <w:b/>
          <w:sz w:val="26"/>
          <w:szCs w:val="26"/>
        </w:rPr>
        <w:t>“开放与运行管理”</w:t>
      </w:r>
      <w:r>
        <w:rPr>
          <w:rFonts w:ascii="Times New Roman" w:hAnsi="Times New Roman" w:eastAsia="仿宋_GB2312" w:cs="Times New Roman"/>
          <w:sz w:val="26"/>
          <w:szCs w:val="26"/>
        </w:rPr>
        <w:t>栏中：</w:t>
      </w:r>
    </w:p>
    <w:p>
      <w:pPr>
        <w:adjustRightInd w:val="0"/>
        <w:snapToGrid w:val="0"/>
        <w:spacing w:afterLines="10"/>
        <w:ind w:firstLine="520" w:firstLineChars="200"/>
        <w:rPr>
          <w:rFonts w:ascii="Times New Roman" w:hAnsi="Times New Roman" w:eastAsia="仿宋_GB2312" w:cs="Times New Roman"/>
          <w:sz w:val="26"/>
          <w:szCs w:val="26"/>
        </w:rPr>
      </w:pPr>
      <w:r>
        <w:rPr>
          <w:rFonts w:ascii="Times New Roman" w:hAnsi="Times New Roman" w:eastAsia="仿宋_GB2312" w:cs="Times New Roman"/>
          <w:sz w:val="26"/>
          <w:szCs w:val="26"/>
        </w:rPr>
        <w:t>1.</w:t>
      </w:r>
      <w:r>
        <w:rPr>
          <w:rFonts w:ascii="Times New Roman" w:hAnsi="Times New Roman" w:eastAsia="仿宋_GB2312" w:cs="Times New Roman"/>
          <w:b/>
          <w:sz w:val="26"/>
          <w:szCs w:val="26"/>
        </w:rPr>
        <w:t>“承办学术会议”</w:t>
      </w:r>
      <w:r>
        <w:rPr>
          <w:rFonts w:ascii="Times New Roman" w:hAnsi="Times New Roman" w:eastAsia="仿宋_GB2312" w:cs="Times New Roman"/>
          <w:sz w:val="26"/>
          <w:szCs w:val="26"/>
        </w:rPr>
        <w:t>包括国际学术会议和国内学术会议。其中，国内学术会议是指由主管部门或全国性一级学会批准的学术会议。</w:t>
      </w:r>
    </w:p>
    <w:p>
      <w:pPr>
        <w:adjustRightInd w:val="0"/>
        <w:snapToGrid w:val="0"/>
        <w:spacing w:afterLines="10"/>
        <w:ind w:firstLine="520" w:firstLineChars="200"/>
        <w:rPr>
          <w:rFonts w:ascii="Times New Roman" w:hAnsi="Times New Roman" w:eastAsia="仿宋_GB2312" w:cs="Times New Roman"/>
          <w:sz w:val="26"/>
          <w:szCs w:val="26"/>
        </w:rPr>
        <w:sectPr>
          <w:footerReference r:id="rId3" w:type="default"/>
          <w:pgSz w:w="11906" w:h="16838"/>
          <w:pgMar w:top="1440" w:right="1797" w:bottom="1276" w:left="1797" w:header="851" w:footer="680" w:gutter="0"/>
          <w:cols w:space="425" w:num="1"/>
          <w:docGrid w:type="lines" w:linePitch="381" w:charSpace="0"/>
        </w:sectPr>
      </w:pPr>
      <w:r>
        <w:rPr>
          <w:rFonts w:ascii="Times New Roman" w:hAnsi="Times New Roman" w:eastAsia="仿宋_GB2312" w:cs="Times New Roman"/>
          <w:sz w:val="26"/>
          <w:szCs w:val="26"/>
        </w:rPr>
        <w:t>2.</w:t>
      </w:r>
      <w:r>
        <w:rPr>
          <w:rFonts w:ascii="Times New Roman" w:hAnsi="Times New Roman" w:eastAsia="仿宋_GB2312" w:cs="Times New Roman"/>
          <w:b/>
          <w:sz w:val="26"/>
          <w:szCs w:val="26"/>
        </w:rPr>
        <w:t>“国际合作项目”</w:t>
      </w:r>
      <w:r>
        <w:rPr>
          <w:rFonts w:ascii="Times New Roman" w:hAnsi="Times New Roman" w:eastAsia="仿宋_GB2312" w:cs="Times New Roman"/>
          <w:sz w:val="26"/>
          <w:szCs w:val="26"/>
        </w:rPr>
        <w:t>包括实验室承担的自然科学基金委、科技部、外专局等部门主管的国际科技合作项目，参与的国际重大科技合作计划/工程（如：ITER、CERN等）项目研究，以及双方单位之间正式签订协议书的国际合作项目。</w:t>
      </w:r>
      <w:r>
        <w:rPr>
          <w:rFonts w:ascii="Times New Roman" w:hAnsi="Times New Roman" w:eastAsia="仿宋_GB2312" w:cs="Times New Roman"/>
          <w:sz w:val="26"/>
          <w:szCs w:val="26"/>
        </w:rPr>
        <w:br w:type="page"/>
      </w:r>
    </w:p>
    <w:p>
      <w:pPr>
        <w:adjustRightInd w:val="0"/>
        <w:snapToGrid w:val="0"/>
        <w:spacing w:afterLines="20"/>
        <w:ind w:firstLine="640" w:firstLineChars="200"/>
        <w:rPr>
          <w:rFonts w:ascii="Times New Roman" w:hAnsi="Times New Roman" w:eastAsia="黑体" w:cs="Times New Roman"/>
          <w:b/>
          <w:sz w:val="32"/>
          <w:szCs w:val="24"/>
        </w:rPr>
      </w:pPr>
      <w:r>
        <w:rPr>
          <w:rFonts w:ascii="Times New Roman" w:hAnsi="Times New Roman" w:eastAsia="黑体" w:cs="Times New Roman"/>
          <w:b/>
          <w:sz w:val="32"/>
          <w:szCs w:val="24"/>
        </w:rPr>
        <w:t>一、简表</w:t>
      </w:r>
    </w:p>
    <w:tbl>
      <w:tblPr>
        <w:tblStyle w:val="17"/>
        <w:tblW w:w="928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262"/>
        <w:gridCol w:w="896"/>
        <w:gridCol w:w="845"/>
        <w:gridCol w:w="725"/>
        <w:gridCol w:w="974"/>
        <w:gridCol w:w="128"/>
        <w:gridCol w:w="877"/>
        <w:gridCol w:w="258"/>
        <w:gridCol w:w="426"/>
        <w:gridCol w:w="998"/>
        <w:gridCol w:w="10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7" w:hRule="atLeast"/>
          <w:jc w:val="center"/>
        </w:trPr>
        <w:tc>
          <w:tcPr>
            <w:tcW w:w="2065" w:type="dxa"/>
            <w:gridSpan w:val="2"/>
            <w:tcMar>
              <w:left w:w="0" w:type="dxa"/>
              <w:right w:w="0" w:type="dxa"/>
            </w:tcMar>
            <w:vAlign w:val="center"/>
          </w:tcPr>
          <w:p>
            <w:pPr>
              <w:widowControl/>
              <w:adjustRightInd w:val="0"/>
              <w:snapToGrid w:val="0"/>
              <w:jc w:val="center"/>
              <w:rPr>
                <w:rFonts w:ascii="Times New Roman" w:hAnsi="Times New Roman" w:eastAsia="宋体" w:cs="Times New Roman"/>
                <w:b/>
                <w:kern w:val="0"/>
                <w:sz w:val="20"/>
                <w:szCs w:val="16"/>
              </w:rPr>
            </w:pPr>
            <w:r>
              <w:rPr>
                <w:rFonts w:ascii="Times New Roman" w:hAnsi="Times New Roman" w:eastAsia="宋体" w:cs="Times New Roman"/>
                <w:b/>
                <w:kern w:val="0"/>
                <w:sz w:val="20"/>
                <w:szCs w:val="16"/>
              </w:rPr>
              <w:t>实验室名称</w:t>
            </w:r>
          </w:p>
        </w:tc>
        <w:tc>
          <w:tcPr>
            <w:tcW w:w="7215" w:type="dxa"/>
            <w:gridSpan w:val="10"/>
            <w:tcBorders>
              <w:bottom w:val="single" w:color="auto" w:sz="2" w:space="0"/>
            </w:tcBorders>
            <w:vAlign w:val="center"/>
          </w:tcPr>
          <w:p>
            <w:pPr>
              <w:widowControl/>
              <w:adjustRightInd w:val="0"/>
              <w:snapToGrid w:val="0"/>
              <w:jc w:val="left"/>
              <w:rPr>
                <w:rFonts w:ascii="宋体" w:hAnsi="宋体" w:eastAsia="宋体" w:cs="Times New Roman"/>
                <w:kern w:val="0"/>
                <w:sz w:val="20"/>
                <w:szCs w:val="16"/>
              </w:rPr>
            </w:pPr>
            <w:r>
              <w:rPr>
                <w:rFonts w:hint="eastAsia" w:ascii="宋体" w:hAnsi="宋体" w:eastAsia="宋体"/>
                <w:kern w:val="0"/>
                <w:szCs w:val="21"/>
              </w:rPr>
              <w:t>环境污染过程与基准教育部重点实验室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2065" w:type="dxa"/>
            <w:gridSpan w:val="2"/>
            <w:vMerge w:val="restart"/>
            <w:tcMar>
              <w:left w:w="0" w:type="dxa"/>
              <w:right w:w="0" w:type="dxa"/>
            </w:tcMar>
            <w:vAlign w:val="center"/>
          </w:tcPr>
          <w:p>
            <w:pPr>
              <w:widowControl/>
              <w:adjustRightInd w:val="0"/>
              <w:snapToGrid w:val="0"/>
              <w:jc w:val="center"/>
              <w:rPr>
                <w:rFonts w:ascii="Times New Roman" w:hAnsi="Times New Roman" w:eastAsia="宋体" w:cs="Times New Roman"/>
                <w:b/>
                <w:kern w:val="0"/>
                <w:sz w:val="20"/>
                <w:szCs w:val="16"/>
              </w:rPr>
            </w:pPr>
            <w:r>
              <w:rPr>
                <w:rFonts w:ascii="Times New Roman" w:hAnsi="Times New Roman" w:eastAsia="宋体" w:cs="Times New Roman"/>
                <w:b/>
                <w:kern w:val="0"/>
                <w:sz w:val="20"/>
                <w:szCs w:val="16"/>
              </w:rPr>
              <w:t>研究方向</w:t>
            </w:r>
          </w:p>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(据实增删)</w:t>
            </w:r>
          </w:p>
        </w:tc>
        <w:tc>
          <w:tcPr>
            <w:tcW w:w="1741" w:type="dxa"/>
            <w:gridSpan w:val="2"/>
            <w:tcBorders>
              <w:top w:val="single" w:color="auto" w:sz="2" w:space="0"/>
              <w:bottom w:val="single" w:color="auto" w:sz="2" w:space="0"/>
              <w:right w:val="single" w:color="auto" w:sz="4"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研究方向1</w:t>
            </w:r>
          </w:p>
        </w:tc>
        <w:tc>
          <w:tcPr>
            <w:tcW w:w="5474" w:type="dxa"/>
            <w:gridSpan w:val="8"/>
            <w:tcBorders>
              <w:top w:val="single" w:color="auto" w:sz="2" w:space="0"/>
              <w:bottom w:val="single" w:color="auto" w:sz="2" w:space="0"/>
              <w:right w:val="single" w:color="auto" w:sz="1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地表环境污染过程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2065" w:type="dxa"/>
            <w:gridSpan w:val="2"/>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20"/>
                <w:szCs w:val="16"/>
              </w:rPr>
            </w:pPr>
          </w:p>
        </w:tc>
        <w:tc>
          <w:tcPr>
            <w:tcW w:w="1741" w:type="dxa"/>
            <w:gridSpan w:val="2"/>
            <w:tcBorders>
              <w:top w:val="single" w:color="auto" w:sz="2" w:space="0"/>
              <w:bottom w:val="single" w:color="auto" w:sz="2" w:space="0"/>
              <w:right w:val="single" w:color="auto" w:sz="4"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研究方向2</w:t>
            </w:r>
          </w:p>
        </w:tc>
        <w:tc>
          <w:tcPr>
            <w:tcW w:w="5474" w:type="dxa"/>
            <w:gridSpan w:val="8"/>
            <w:tcBorders>
              <w:top w:val="single" w:color="auto" w:sz="2" w:space="0"/>
              <w:bottom w:val="single" w:color="auto" w:sz="2" w:space="0"/>
              <w:right w:val="single" w:color="auto" w:sz="1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生态毒理与环境</w:t>
            </w:r>
            <w:r>
              <w:rPr>
                <w:rFonts w:hint="eastAsia" w:ascii="宋体" w:hAnsi="宋体" w:eastAsia="宋体"/>
                <w:kern w:val="0"/>
                <w:sz w:val="24"/>
                <w:szCs w:val="24"/>
              </w:rPr>
              <w:t>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2065" w:type="dxa"/>
            <w:gridSpan w:val="2"/>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20"/>
                <w:szCs w:val="16"/>
              </w:rPr>
            </w:pPr>
          </w:p>
        </w:tc>
        <w:tc>
          <w:tcPr>
            <w:tcW w:w="1741" w:type="dxa"/>
            <w:gridSpan w:val="2"/>
            <w:tcBorders>
              <w:top w:val="single" w:color="auto" w:sz="2" w:space="0"/>
              <w:bottom w:val="single" w:color="auto" w:sz="2" w:space="0"/>
              <w:right w:val="single" w:color="auto" w:sz="4"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研究方向3</w:t>
            </w:r>
          </w:p>
        </w:tc>
        <w:tc>
          <w:tcPr>
            <w:tcW w:w="5474" w:type="dxa"/>
            <w:gridSpan w:val="8"/>
            <w:tcBorders>
              <w:top w:val="single" w:color="auto" w:sz="2" w:space="0"/>
              <w:bottom w:val="single" w:color="auto" w:sz="2" w:space="0"/>
              <w:right w:val="single" w:color="auto" w:sz="12" w:space="0"/>
            </w:tcBorders>
            <w:vAlign w:val="center"/>
          </w:tcPr>
          <w:p>
            <w:pPr>
              <w:widowControl/>
              <w:adjustRightInd w:val="0"/>
              <w:snapToGrid w:val="0"/>
              <w:jc w:val="left"/>
              <w:rPr>
                <w:rFonts w:ascii="宋体" w:hAnsi="宋体" w:eastAsia="宋体"/>
                <w:kern w:val="0"/>
                <w:sz w:val="16"/>
                <w:szCs w:val="16"/>
              </w:rPr>
            </w:pPr>
            <w:r>
              <w:rPr>
                <w:rFonts w:hint="eastAsia" w:ascii="宋体" w:hAnsi="宋体" w:eastAsia="宋体"/>
                <w:kern w:val="0"/>
                <w:szCs w:val="21"/>
              </w:rPr>
              <w:t>受污染环境修复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实验室</w:t>
            </w:r>
          </w:p>
          <w:p>
            <w:pPr>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主任</w:t>
            </w:r>
          </w:p>
        </w:tc>
        <w:tc>
          <w:tcPr>
            <w:tcW w:w="1262" w:type="dxa"/>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姓名</w:t>
            </w:r>
          </w:p>
        </w:tc>
        <w:tc>
          <w:tcPr>
            <w:tcW w:w="1741" w:type="dxa"/>
            <w:gridSpan w:val="2"/>
            <w:tcBorders>
              <w:top w:val="single" w:color="auto" w:sz="2" w:space="0"/>
            </w:tcBorders>
            <w:vAlign w:val="center"/>
          </w:tcPr>
          <w:p>
            <w:pPr>
              <w:widowControl/>
              <w:adjustRightInd w:val="0"/>
              <w:snapToGrid w:val="0"/>
              <w:jc w:val="left"/>
              <w:rPr>
                <w:rFonts w:ascii="宋体" w:hAnsi="宋体" w:eastAsia="宋体" w:cs="Times New Roman"/>
                <w:kern w:val="0"/>
                <w:sz w:val="16"/>
                <w:szCs w:val="16"/>
              </w:rPr>
            </w:pPr>
            <w:r>
              <w:rPr>
                <w:rFonts w:hint="eastAsia" w:ascii="宋体" w:hAnsi="宋体" w:eastAsia="宋体"/>
                <w:kern w:val="0"/>
                <w:szCs w:val="21"/>
              </w:rPr>
              <w:t>罗义</w:t>
            </w:r>
          </w:p>
        </w:tc>
        <w:tc>
          <w:tcPr>
            <w:tcW w:w="1699" w:type="dxa"/>
            <w:gridSpan w:val="2"/>
            <w:tcBorders>
              <w:top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研究方向</w:t>
            </w:r>
          </w:p>
        </w:tc>
        <w:tc>
          <w:tcPr>
            <w:tcW w:w="3775" w:type="dxa"/>
            <w:gridSpan w:val="6"/>
            <w:tcBorders>
              <w:top w:val="single" w:color="auto" w:sz="2" w:space="0"/>
            </w:tcBorders>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生态毒理与环境地球化学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p>
        </w:tc>
        <w:tc>
          <w:tcPr>
            <w:tcW w:w="1262" w:type="dxa"/>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出生日期</w:t>
            </w:r>
          </w:p>
        </w:tc>
        <w:tc>
          <w:tcPr>
            <w:tcW w:w="1741" w:type="dxa"/>
            <w:gridSpan w:val="2"/>
            <w:vAlign w:val="center"/>
          </w:tcPr>
          <w:p>
            <w:pPr>
              <w:widowControl/>
              <w:adjustRightInd w:val="0"/>
              <w:snapToGrid w:val="0"/>
              <w:jc w:val="left"/>
              <w:rPr>
                <w:rFonts w:ascii="宋体" w:hAnsi="宋体" w:eastAsia="宋体" w:cs="Times New Roman"/>
                <w:kern w:val="0"/>
                <w:sz w:val="16"/>
                <w:szCs w:val="16"/>
              </w:rPr>
            </w:pPr>
            <w:r>
              <w:rPr>
                <w:rFonts w:ascii="宋体" w:hAnsi="宋体" w:eastAsia="宋体"/>
                <w:kern w:val="0"/>
                <w:szCs w:val="21"/>
              </w:rPr>
              <w:t>1971/08/03</w:t>
            </w:r>
          </w:p>
        </w:tc>
        <w:tc>
          <w:tcPr>
            <w:tcW w:w="1699" w:type="dxa"/>
            <w:gridSpan w:val="2"/>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职称</w:t>
            </w:r>
          </w:p>
        </w:tc>
        <w:tc>
          <w:tcPr>
            <w:tcW w:w="1005" w:type="dxa"/>
            <w:gridSpan w:val="2"/>
            <w:vAlign w:val="center"/>
          </w:tcPr>
          <w:p>
            <w:pPr>
              <w:widowControl/>
              <w:adjustRightInd w:val="0"/>
              <w:snapToGrid w:val="0"/>
              <w:jc w:val="left"/>
              <w:rPr>
                <w:rFonts w:ascii="宋体" w:hAnsi="宋体" w:eastAsia="宋体"/>
                <w:kern w:val="0"/>
                <w:sz w:val="16"/>
                <w:szCs w:val="16"/>
              </w:rPr>
            </w:pPr>
            <w:r>
              <w:rPr>
                <w:rFonts w:hint="eastAsia" w:ascii="宋体" w:hAnsi="宋体" w:eastAsia="宋体"/>
                <w:kern w:val="0"/>
                <w:szCs w:val="21"/>
              </w:rPr>
              <w:t>教授</w:t>
            </w:r>
          </w:p>
        </w:tc>
        <w:tc>
          <w:tcPr>
            <w:tcW w:w="1682" w:type="dxa"/>
            <w:gridSpan w:val="3"/>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任职时间</w:t>
            </w:r>
          </w:p>
        </w:tc>
        <w:tc>
          <w:tcPr>
            <w:tcW w:w="1088" w:type="dxa"/>
            <w:vAlign w:val="center"/>
          </w:tcPr>
          <w:p>
            <w:pPr>
              <w:widowControl/>
              <w:adjustRightInd w:val="0"/>
              <w:snapToGrid w:val="0"/>
              <w:jc w:val="left"/>
              <w:rPr>
                <w:rFonts w:ascii="微软雅黑" w:hAnsi="微软雅黑" w:eastAsia="微软雅黑"/>
                <w:kern w:val="0"/>
                <w:szCs w:val="21"/>
              </w:rPr>
            </w:pPr>
            <w:r>
              <w:rPr>
                <w:rFonts w:ascii="宋体" w:hAnsi="宋体" w:eastAsia="宋体"/>
                <w:kern w:val="0"/>
                <w:szCs w:val="21"/>
              </w:rPr>
              <w:t>2017/11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实验室</w:t>
            </w:r>
          </w:p>
          <w:p>
            <w:pPr>
              <w:widowControl/>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副主任</w:t>
            </w:r>
          </w:p>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6"/>
                <w:szCs w:val="16"/>
              </w:rPr>
              <w:t>(据实增删)</w:t>
            </w:r>
          </w:p>
        </w:tc>
        <w:tc>
          <w:tcPr>
            <w:tcW w:w="1262" w:type="dxa"/>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姓名</w:t>
            </w:r>
          </w:p>
        </w:tc>
        <w:tc>
          <w:tcPr>
            <w:tcW w:w="1741" w:type="dxa"/>
            <w:gridSpan w:val="2"/>
            <w:vAlign w:val="center"/>
          </w:tcPr>
          <w:p>
            <w:pPr>
              <w:widowControl/>
              <w:adjustRightInd w:val="0"/>
              <w:snapToGrid w:val="0"/>
              <w:jc w:val="left"/>
              <w:rPr>
                <w:rFonts w:ascii="宋体" w:hAnsi="宋体" w:eastAsia="宋体"/>
                <w:kern w:val="0"/>
                <w:sz w:val="16"/>
                <w:szCs w:val="16"/>
              </w:rPr>
            </w:pPr>
            <w:r>
              <w:rPr>
                <w:rFonts w:hint="eastAsia" w:ascii="宋体" w:hAnsi="宋体" w:eastAsia="宋体"/>
                <w:kern w:val="0"/>
                <w:szCs w:val="21"/>
              </w:rPr>
              <w:t>汪磊</w:t>
            </w:r>
          </w:p>
        </w:tc>
        <w:tc>
          <w:tcPr>
            <w:tcW w:w="1699" w:type="dxa"/>
            <w:gridSpan w:val="2"/>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研究方向</w:t>
            </w:r>
          </w:p>
        </w:tc>
        <w:tc>
          <w:tcPr>
            <w:tcW w:w="3775" w:type="dxa"/>
            <w:gridSpan w:val="6"/>
            <w:vAlign w:val="center"/>
          </w:tcPr>
          <w:p>
            <w:pPr>
              <w:widowControl/>
              <w:adjustRightInd w:val="0"/>
              <w:snapToGrid w:val="0"/>
              <w:jc w:val="left"/>
              <w:rPr>
                <w:rFonts w:ascii="宋体" w:hAnsi="宋体" w:eastAsia="宋体"/>
                <w:kern w:val="0"/>
                <w:sz w:val="24"/>
                <w:szCs w:val="24"/>
              </w:rPr>
            </w:pPr>
            <w:r>
              <w:rPr>
                <w:rFonts w:ascii="宋体" w:hAnsi="宋体" w:eastAsia="宋体"/>
                <w:kern w:val="0"/>
                <w:szCs w:val="21"/>
              </w:rPr>
              <w:t>环境化学与人体健康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p>
        </w:tc>
        <w:tc>
          <w:tcPr>
            <w:tcW w:w="1262" w:type="dxa"/>
            <w:tcBorders>
              <w:bottom w:val="single" w:color="auto" w:sz="2" w:space="0"/>
            </w:tcBorders>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出生日期</w:t>
            </w:r>
          </w:p>
        </w:tc>
        <w:tc>
          <w:tcPr>
            <w:tcW w:w="1741" w:type="dxa"/>
            <w:gridSpan w:val="2"/>
            <w:tcBorders>
              <w:bottom w:val="single" w:color="auto" w:sz="2" w:space="0"/>
            </w:tcBorders>
            <w:vAlign w:val="center"/>
          </w:tcPr>
          <w:p>
            <w:pPr>
              <w:widowControl/>
              <w:adjustRightInd w:val="0"/>
              <w:snapToGrid w:val="0"/>
              <w:jc w:val="left"/>
              <w:rPr>
                <w:rFonts w:ascii="宋体" w:hAnsi="宋体" w:eastAsia="宋体" w:cs="Times New Roman"/>
                <w:kern w:val="0"/>
                <w:sz w:val="16"/>
                <w:szCs w:val="16"/>
              </w:rPr>
            </w:pPr>
            <w:r>
              <w:rPr>
                <w:rFonts w:ascii="宋体" w:hAnsi="宋体" w:eastAsia="宋体"/>
                <w:kern w:val="0"/>
                <w:szCs w:val="21"/>
              </w:rPr>
              <w:t>1979/01/30</w:t>
            </w:r>
          </w:p>
        </w:tc>
        <w:tc>
          <w:tcPr>
            <w:tcW w:w="1699" w:type="dxa"/>
            <w:gridSpan w:val="2"/>
            <w:tcBorders>
              <w:bottom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职称</w:t>
            </w:r>
          </w:p>
        </w:tc>
        <w:tc>
          <w:tcPr>
            <w:tcW w:w="1005" w:type="dxa"/>
            <w:gridSpan w:val="2"/>
            <w:tcBorders>
              <w:bottom w:val="single" w:color="auto" w:sz="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教授</w:t>
            </w:r>
          </w:p>
        </w:tc>
        <w:tc>
          <w:tcPr>
            <w:tcW w:w="1682" w:type="dxa"/>
            <w:gridSpan w:val="3"/>
            <w:tcBorders>
              <w:bottom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任职时间</w:t>
            </w:r>
          </w:p>
        </w:tc>
        <w:tc>
          <w:tcPr>
            <w:tcW w:w="1088" w:type="dxa"/>
            <w:tcBorders>
              <w:bottom w:val="single" w:color="auto" w:sz="2" w:space="0"/>
            </w:tcBorders>
            <w:vAlign w:val="center"/>
          </w:tcPr>
          <w:p>
            <w:pPr>
              <w:widowControl/>
              <w:adjustRightInd w:val="0"/>
              <w:snapToGrid w:val="0"/>
              <w:jc w:val="left"/>
              <w:rPr>
                <w:rFonts w:ascii="微软雅黑" w:hAnsi="微软雅黑" w:eastAsia="微软雅黑"/>
                <w:kern w:val="0"/>
                <w:szCs w:val="21"/>
              </w:rPr>
            </w:pPr>
            <w:r>
              <w:rPr>
                <w:rFonts w:hint="eastAsia" w:ascii="宋体" w:hAnsi="宋体" w:eastAsia="宋体"/>
                <w:kern w:val="0"/>
                <w:szCs w:val="21"/>
              </w:rPr>
              <w:t>2015/12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p>
        </w:tc>
        <w:tc>
          <w:tcPr>
            <w:tcW w:w="1262" w:type="dxa"/>
            <w:tcBorders>
              <w:bottom w:val="single" w:color="auto" w:sz="2" w:space="0"/>
            </w:tcBorders>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姓名</w:t>
            </w:r>
          </w:p>
        </w:tc>
        <w:tc>
          <w:tcPr>
            <w:tcW w:w="1741" w:type="dxa"/>
            <w:gridSpan w:val="2"/>
            <w:tcBorders>
              <w:bottom w:val="single" w:color="auto" w:sz="2" w:space="0"/>
            </w:tcBorders>
            <w:vAlign w:val="center"/>
          </w:tcPr>
          <w:p>
            <w:pPr>
              <w:widowControl/>
              <w:adjustRightInd w:val="0"/>
              <w:snapToGrid w:val="0"/>
              <w:jc w:val="left"/>
              <w:rPr>
                <w:rFonts w:ascii="宋体" w:hAnsi="宋体" w:eastAsia="宋体"/>
                <w:kern w:val="0"/>
                <w:sz w:val="16"/>
                <w:szCs w:val="16"/>
              </w:rPr>
            </w:pPr>
            <w:r>
              <w:rPr>
                <w:rFonts w:hint="eastAsia" w:ascii="宋体" w:hAnsi="宋体" w:eastAsia="宋体"/>
                <w:kern w:val="0"/>
                <w:szCs w:val="21"/>
              </w:rPr>
              <w:t>胡献刚</w:t>
            </w:r>
          </w:p>
        </w:tc>
        <w:tc>
          <w:tcPr>
            <w:tcW w:w="1699" w:type="dxa"/>
            <w:gridSpan w:val="2"/>
            <w:tcBorders>
              <w:bottom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研究方向</w:t>
            </w:r>
          </w:p>
        </w:tc>
        <w:tc>
          <w:tcPr>
            <w:tcW w:w="3775" w:type="dxa"/>
            <w:gridSpan w:val="6"/>
            <w:tcBorders>
              <w:bottom w:val="single" w:color="auto" w:sz="2" w:space="0"/>
            </w:tcBorders>
            <w:vAlign w:val="center"/>
          </w:tcPr>
          <w:p>
            <w:pPr>
              <w:widowControl/>
              <w:adjustRightInd w:val="0"/>
              <w:snapToGrid w:val="0"/>
              <w:jc w:val="left"/>
              <w:rPr>
                <w:rFonts w:ascii="宋体" w:hAnsi="宋体" w:eastAsia="宋体"/>
                <w:kern w:val="0"/>
                <w:szCs w:val="21"/>
              </w:rPr>
            </w:pPr>
            <w:r>
              <w:rPr>
                <w:rFonts w:ascii="宋体" w:hAnsi="宋体" w:eastAsia="宋体"/>
                <w:kern w:val="0"/>
                <w:szCs w:val="21"/>
              </w:rPr>
              <w:t>生态毒理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p>
        </w:tc>
        <w:tc>
          <w:tcPr>
            <w:tcW w:w="1262" w:type="dxa"/>
            <w:tcBorders>
              <w:bottom w:val="single" w:color="auto" w:sz="2" w:space="0"/>
            </w:tcBorders>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出生日期</w:t>
            </w:r>
          </w:p>
        </w:tc>
        <w:tc>
          <w:tcPr>
            <w:tcW w:w="1741" w:type="dxa"/>
            <w:gridSpan w:val="2"/>
            <w:tcBorders>
              <w:bottom w:val="single" w:color="auto" w:sz="2" w:space="0"/>
            </w:tcBorders>
            <w:vAlign w:val="center"/>
          </w:tcPr>
          <w:p>
            <w:pPr>
              <w:widowControl/>
              <w:adjustRightInd w:val="0"/>
              <w:snapToGrid w:val="0"/>
              <w:jc w:val="left"/>
              <w:rPr>
                <w:rFonts w:ascii="宋体" w:hAnsi="宋体" w:eastAsia="宋体"/>
                <w:kern w:val="0"/>
                <w:sz w:val="24"/>
                <w:szCs w:val="24"/>
              </w:rPr>
            </w:pPr>
            <w:r>
              <w:rPr>
                <w:rFonts w:ascii="宋体" w:hAnsi="宋体" w:eastAsia="宋体"/>
                <w:kern w:val="0"/>
                <w:szCs w:val="21"/>
              </w:rPr>
              <w:t>1983</w:t>
            </w:r>
            <w:r>
              <w:rPr>
                <w:rFonts w:ascii="宋体" w:hAnsi="宋体" w:eastAsia="宋体"/>
                <w:kern w:val="0"/>
                <w:sz w:val="24"/>
                <w:szCs w:val="24"/>
              </w:rPr>
              <w:t>/10/11</w:t>
            </w:r>
          </w:p>
        </w:tc>
        <w:tc>
          <w:tcPr>
            <w:tcW w:w="1699" w:type="dxa"/>
            <w:gridSpan w:val="2"/>
            <w:tcBorders>
              <w:bottom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职称</w:t>
            </w:r>
          </w:p>
        </w:tc>
        <w:tc>
          <w:tcPr>
            <w:tcW w:w="1005" w:type="dxa"/>
            <w:gridSpan w:val="2"/>
            <w:tcBorders>
              <w:bottom w:val="single" w:color="auto" w:sz="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副教授</w:t>
            </w:r>
          </w:p>
        </w:tc>
        <w:tc>
          <w:tcPr>
            <w:tcW w:w="1682" w:type="dxa"/>
            <w:gridSpan w:val="3"/>
            <w:tcBorders>
              <w:bottom w:val="single" w:color="auto" w:sz="2" w:space="0"/>
            </w:tcBorders>
            <w:vAlign w:val="center"/>
          </w:tcPr>
          <w:p>
            <w:pPr>
              <w:widowControl/>
              <w:adjustRightInd w:val="0"/>
              <w:snapToGrid w:val="0"/>
              <w:jc w:val="center"/>
              <w:rPr>
                <w:rFonts w:ascii="宋体" w:hAnsi="宋体" w:eastAsia="宋体" w:cs="Times New Roman"/>
                <w:kern w:val="0"/>
                <w:sz w:val="18"/>
                <w:szCs w:val="16"/>
              </w:rPr>
            </w:pPr>
            <w:r>
              <w:rPr>
                <w:rFonts w:ascii="宋体" w:hAnsi="宋体" w:eastAsia="宋体" w:cs="Times New Roman"/>
                <w:kern w:val="0"/>
                <w:sz w:val="18"/>
                <w:szCs w:val="16"/>
              </w:rPr>
              <w:t>任职时间</w:t>
            </w:r>
          </w:p>
        </w:tc>
        <w:tc>
          <w:tcPr>
            <w:tcW w:w="1088" w:type="dxa"/>
            <w:tcBorders>
              <w:bottom w:val="single" w:color="auto" w:sz="2" w:space="0"/>
            </w:tcBorders>
            <w:vAlign w:val="center"/>
          </w:tcPr>
          <w:p>
            <w:pPr>
              <w:widowControl/>
              <w:adjustRightInd w:val="0"/>
              <w:snapToGrid w:val="0"/>
              <w:jc w:val="left"/>
              <w:rPr>
                <w:rFonts w:ascii="宋体" w:hAnsi="宋体" w:eastAsia="宋体"/>
                <w:kern w:val="0"/>
                <w:szCs w:val="21"/>
              </w:rPr>
            </w:pPr>
            <w:r>
              <w:rPr>
                <w:rFonts w:ascii="宋体" w:hAnsi="宋体" w:eastAsia="宋体"/>
                <w:kern w:val="0"/>
                <w:szCs w:val="21"/>
              </w:rPr>
              <w:t>201</w:t>
            </w:r>
            <w:r>
              <w:rPr>
                <w:rFonts w:hint="eastAsia" w:ascii="宋体" w:hAnsi="宋体" w:eastAsia="宋体"/>
                <w:kern w:val="0"/>
                <w:szCs w:val="21"/>
              </w:rPr>
              <w:t>5</w:t>
            </w:r>
            <w:r>
              <w:rPr>
                <w:rFonts w:ascii="宋体" w:hAnsi="宋体" w:eastAsia="宋体"/>
                <w:kern w:val="0"/>
                <w:szCs w:val="21"/>
              </w:rPr>
              <w:t>/</w:t>
            </w:r>
            <w:r>
              <w:rPr>
                <w:rFonts w:hint="eastAsia" w:ascii="宋体" w:hAnsi="宋体" w:eastAsia="宋体"/>
                <w:kern w:val="0"/>
                <w:szCs w:val="21"/>
              </w:rPr>
              <w:t>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学术</w:t>
            </w:r>
          </w:p>
          <w:p>
            <w:pPr>
              <w:widowControl/>
              <w:adjustRightInd w:val="0"/>
              <w:snapToGrid w:val="0"/>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委员会主任</w:t>
            </w:r>
          </w:p>
        </w:tc>
        <w:tc>
          <w:tcPr>
            <w:tcW w:w="1262" w:type="dxa"/>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姓名</w:t>
            </w:r>
          </w:p>
        </w:tc>
        <w:tc>
          <w:tcPr>
            <w:tcW w:w="1741" w:type="dxa"/>
            <w:gridSpan w:val="2"/>
            <w:tcBorders>
              <w:top w:val="single" w:color="auto" w:sz="2" w:space="0"/>
              <w:bottom w:val="single" w:color="auto" w:sz="2" w:space="0"/>
            </w:tcBorders>
            <w:vAlign w:val="center"/>
          </w:tcPr>
          <w:p>
            <w:pPr>
              <w:widowControl/>
              <w:adjustRightInd w:val="0"/>
              <w:snapToGrid w:val="0"/>
              <w:jc w:val="left"/>
              <w:rPr>
                <w:rFonts w:ascii="宋体" w:hAnsi="宋体" w:eastAsia="宋体"/>
                <w:kern w:val="0"/>
                <w:sz w:val="16"/>
                <w:szCs w:val="16"/>
              </w:rPr>
            </w:pPr>
            <w:r>
              <w:rPr>
                <w:rFonts w:hint="eastAsia" w:ascii="宋体" w:hAnsi="宋体" w:eastAsia="宋体"/>
                <w:kern w:val="0"/>
                <w:szCs w:val="21"/>
              </w:rPr>
              <w:t>陶澍</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宋体" w:hAnsi="宋体" w:eastAsia="宋体"/>
                <w:kern w:val="0"/>
                <w:sz w:val="18"/>
                <w:szCs w:val="16"/>
              </w:rPr>
            </w:pPr>
            <w:r>
              <w:rPr>
                <w:rFonts w:hint="eastAsia" w:ascii="宋体" w:hAnsi="宋体" w:eastAsia="宋体"/>
                <w:kern w:val="0"/>
                <w:sz w:val="18"/>
                <w:szCs w:val="16"/>
              </w:rPr>
              <w:t>研究方向</w:t>
            </w:r>
          </w:p>
        </w:tc>
        <w:tc>
          <w:tcPr>
            <w:tcW w:w="3775" w:type="dxa"/>
            <w:gridSpan w:val="6"/>
            <w:tcBorders>
              <w:top w:val="single" w:color="auto" w:sz="2" w:space="0"/>
              <w:bottom w:val="single" w:color="auto" w:sz="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环境地理学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12" w:space="0"/>
            </w:tcBorders>
            <w:tcMar>
              <w:left w:w="0" w:type="dxa"/>
              <w:right w:w="0" w:type="dxa"/>
            </w:tcMar>
            <w:vAlign w:val="center"/>
          </w:tcPr>
          <w:p>
            <w:pPr>
              <w:widowControl/>
              <w:adjustRightInd w:val="0"/>
              <w:snapToGrid w:val="0"/>
              <w:jc w:val="center"/>
              <w:rPr>
                <w:rFonts w:ascii="Times New Roman" w:hAnsi="Times New Roman" w:eastAsia="宋体" w:cs="Times New Roman"/>
                <w:b/>
                <w:kern w:val="0"/>
                <w:sz w:val="18"/>
                <w:szCs w:val="16"/>
              </w:rPr>
            </w:pPr>
          </w:p>
        </w:tc>
        <w:tc>
          <w:tcPr>
            <w:tcW w:w="1262" w:type="dxa"/>
            <w:tcBorders>
              <w:top w:val="single" w:color="auto" w:sz="2" w:space="0"/>
              <w:bottom w:val="single" w:color="auto" w:sz="12" w:space="0"/>
            </w:tcBorders>
            <w:vAlign w:val="center"/>
          </w:tcPr>
          <w:p>
            <w:pPr>
              <w:widowControl/>
              <w:adjustRightInd w:val="0"/>
              <w:snapToGrid w:val="0"/>
              <w:jc w:val="center"/>
              <w:rPr>
                <w:rFonts w:ascii="Times New Roman" w:hAnsi="Times New Roman" w:eastAsia="宋体" w:cs="Times New Roman"/>
                <w:kern w:val="0"/>
                <w:sz w:val="18"/>
                <w:szCs w:val="16"/>
              </w:rPr>
            </w:pPr>
            <w:r>
              <w:rPr>
                <w:rFonts w:ascii="Times New Roman" w:hAnsi="Times New Roman" w:eastAsia="宋体" w:cs="Times New Roman"/>
                <w:kern w:val="0"/>
                <w:sz w:val="18"/>
                <w:szCs w:val="16"/>
              </w:rPr>
              <w:t>出生日期</w:t>
            </w:r>
          </w:p>
        </w:tc>
        <w:tc>
          <w:tcPr>
            <w:tcW w:w="1741" w:type="dxa"/>
            <w:gridSpan w:val="2"/>
            <w:tcBorders>
              <w:top w:val="single" w:color="auto" w:sz="2" w:space="0"/>
              <w:bottom w:val="single" w:color="auto" w:sz="12" w:space="0"/>
            </w:tcBorders>
            <w:vAlign w:val="center"/>
          </w:tcPr>
          <w:p>
            <w:pPr>
              <w:widowControl/>
              <w:adjustRightInd w:val="0"/>
              <w:snapToGrid w:val="0"/>
              <w:jc w:val="left"/>
              <w:rPr>
                <w:rFonts w:ascii="宋体" w:hAnsi="宋体" w:eastAsia="宋体"/>
                <w:kern w:val="0"/>
                <w:sz w:val="16"/>
                <w:szCs w:val="16"/>
              </w:rPr>
            </w:pPr>
            <w:r>
              <w:rPr>
                <w:rFonts w:ascii="宋体" w:hAnsi="宋体" w:eastAsia="宋体"/>
                <w:kern w:val="0"/>
                <w:szCs w:val="21"/>
              </w:rPr>
              <w:t>19</w:t>
            </w:r>
            <w:r>
              <w:rPr>
                <w:rFonts w:hint="eastAsia" w:ascii="宋体" w:hAnsi="宋体" w:eastAsia="宋体"/>
                <w:kern w:val="0"/>
                <w:szCs w:val="21"/>
              </w:rPr>
              <w:t>50</w:t>
            </w:r>
            <w:r>
              <w:rPr>
                <w:rFonts w:ascii="宋体" w:hAnsi="宋体" w:eastAsia="宋体"/>
                <w:kern w:val="0"/>
                <w:sz w:val="24"/>
                <w:szCs w:val="24"/>
              </w:rPr>
              <w:t>/0</w:t>
            </w:r>
            <w:r>
              <w:rPr>
                <w:rFonts w:hint="eastAsia" w:ascii="宋体" w:hAnsi="宋体" w:eastAsia="宋体"/>
                <w:kern w:val="0"/>
                <w:sz w:val="24"/>
                <w:szCs w:val="24"/>
              </w:rPr>
              <w:t>8</w:t>
            </w:r>
            <w:r>
              <w:rPr>
                <w:rFonts w:ascii="宋体" w:hAnsi="宋体" w:eastAsia="宋体"/>
                <w:kern w:val="0"/>
                <w:sz w:val="24"/>
                <w:szCs w:val="24"/>
              </w:rPr>
              <w:t>/</w:t>
            </w:r>
            <w:r>
              <w:rPr>
                <w:rFonts w:hint="eastAsia" w:ascii="宋体" w:hAnsi="宋体" w:eastAsia="宋体"/>
                <w:kern w:val="0"/>
                <w:sz w:val="24"/>
                <w:szCs w:val="24"/>
              </w:rPr>
              <w:t>14</w:t>
            </w:r>
          </w:p>
        </w:tc>
        <w:tc>
          <w:tcPr>
            <w:tcW w:w="1699" w:type="dxa"/>
            <w:gridSpan w:val="2"/>
            <w:tcBorders>
              <w:top w:val="single" w:color="auto" w:sz="2" w:space="0"/>
              <w:bottom w:val="single" w:color="auto" w:sz="12" w:space="0"/>
            </w:tcBorders>
            <w:vAlign w:val="center"/>
          </w:tcPr>
          <w:p>
            <w:pPr>
              <w:widowControl/>
              <w:adjustRightInd w:val="0"/>
              <w:snapToGrid w:val="0"/>
              <w:jc w:val="center"/>
              <w:rPr>
                <w:rFonts w:ascii="宋体" w:hAnsi="宋体" w:eastAsia="宋体"/>
                <w:kern w:val="0"/>
                <w:sz w:val="18"/>
                <w:szCs w:val="16"/>
              </w:rPr>
            </w:pPr>
            <w:r>
              <w:rPr>
                <w:rFonts w:hint="eastAsia" w:ascii="宋体" w:hAnsi="宋体" w:eastAsia="宋体"/>
                <w:kern w:val="0"/>
                <w:sz w:val="18"/>
                <w:szCs w:val="16"/>
              </w:rPr>
              <w:t>职称</w:t>
            </w:r>
          </w:p>
        </w:tc>
        <w:tc>
          <w:tcPr>
            <w:tcW w:w="1005" w:type="dxa"/>
            <w:gridSpan w:val="2"/>
            <w:tcBorders>
              <w:top w:val="single" w:color="auto" w:sz="2" w:space="0"/>
              <w:bottom w:val="single" w:color="auto" w:sz="12" w:space="0"/>
            </w:tcBorders>
            <w:vAlign w:val="center"/>
          </w:tcPr>
          <w:p>
            <w:pPr>
              <w:widowControl/>
              <w:adjustRightInd w:val="0"/>
              <w:snapToGrid w:val="0"/>
              <w:jc w:val="left"/>
              <w:rPr>
                <w:rFonts w:ascii="宋体" w:hAnsi="宋体" w:eastAsia="宋体"/>
                <w:kern w:val="0"/>
                <w:sz w:val="24"/>
                <w:szCs w:val="24"/>
              </w:rPr>
            </w:pPr>
            <w:r>
              <w:rPr>
                <w:rFonts w:hint="eastAsia" w:ascii="宋体" w:hAnsi="宋体" w:eastAsia="宋体"/>
                <w:kern w:val="0"/>
                <w:szCs w:val="21"/>
              </w:rPr>
              <w:t>教授</w:t>
            </w:r>
          </w:p>
        </w:tc>
        <w:tc>
          <w:tcPr>
            <w:tcW w:w="1682" w:type="dxa"/>
            <w:gridSpan w:val="3"/>
            <w:tcBorders>
              <w:top w:val="single" w:color="auto" w:sz="2" w:space="0"/>
              <w:bottom w:val="single" w:color="auto" w:sz="12" w:space="0"/>
            </w:tcBorders>
            <w:vAlign w:val="center"/>
          </w:tcPr>
          <w:p>
            <w:pPr>
              <w:widowControl/>
              <w:adjustRightInd w:val="0"/>
              <w:snapToGrid w:val="0"/>
              <w:jc w:val="center"/>
              <w:rPr>
                <w:rFonts w:ascii="宋体" w:hAnsi="宋体" w:eastAsia="宋体"/>
                <w:kern w:val="0"/>
                <w:sz w:val="18"/>
                <w:szCs w:val="16"/>
              </w:rPr>
            </w:pPr>
            <w:r>
              <w:rPr>
                <w:rFonts w:hint="eastAsia" w:ascii="宋体" w:hAnsi="宋体" w:eastAsia="宋体"/>
                <w:kern w:val="0"/>
                <w:sz w:val="18"/>
                <w:szCs w:val="16"/>
              </w:rPr>
              <w:t>任职时间</w:t>
            </w:r>
          </w:p>
        </w:tc>
        <w:tc>
          <w:tcPr>
            <w:tcW w:w="1088" w:type="dxa"/>
            <w:tcBorders>
              <w:top w:val="single" w:color="auto" w:sz="2" w:space="0"/>
              <w:bottom w:val="single" w:color="auto" w:sz="12" w:space="0"/>
            </w:tcBorders>
            <w:vAlign w:val="center"/>
          </w:tcPr>
          <w:p>
            <w:pPr>
              <w:widowControl/>
              <w:adjustRightInd w:val="0"/>
              <w:snapToGrid w:val="0"/>
              <w:jc w:val="left"/>
              <w:rPr>
                <w:rFonts w:ascii="宋体" w:hAnsi="宋体" w:eastAsia="宋体"/>
                <w:kern w:val="0"/>
                <w:sz w:val="16"/>
                <w:szCs w:val="16"/>
              </w:rPr>
            </w:pPr>
            <w:r>
              <w:rPr>
                <w:rFonts w:ascii="宋体" w:hAnsi="宋体" w:eastAsia="宋体"/>
                <w:kern w:val="0"/>
                <w:szCs w:val="21"/>
              </w:rPr>
              <w:t>2017/11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研究水平与贡献</w:t>
            </w:r>
          </w:p>
        </w:tc>
        <w:tc>
          <w:tcPr>
            <w:tcW w:w="1262" w:type="dxa"/>
            <w:vMerge w:val="restart"/>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论文与专著</w:t>
            </w:r>
          </w:p>
        </w:tc>
        <w:tc>
          <w:tcPr>
            <w:tcW w:w="1741" w:type="dxa"/>
            <w:gridSpan w:val="2"/>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发表论文</w:t>
            </w:r>
          </w:p>
        </w:tc>
        <w:tc>
          <w:tcPr>
            <w:tcW w:w="1699" w:type="dxa"/>
            <w:gridSpan w:val="2"/>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SCI</w:t>
            </w:r>
          </w:p>
        </w:tc>
        <w:tc>
          <w:tcPr>
            <w:tcW w:w="1005" w:type="dxa"/>
            <w:gridSpan w:val="2"/>
            <w:tcBorders>
              <w:top w:val="single" w:color="auto" w:sz="1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93篇</w:t>
            </w:r>
          </w:p>
        </w:tc>
        <w:tc>
          <w:tcPr>
            <w:tcW w:w="1682" w:type="dxa"/>
            <w:gridSpan w:val="3"/>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EI</w:t>
            </w:r>
          </w:p>
        </w:tc>
        <w:tc>
          <w:tcPr>
            <w:tcW w:w="1088" w:type="dxa"/>
            <w:tcBorders>
              <w:top w:val="single" w:color="auto" w:sz="1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99篇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1741"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科技专著</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国内出版</w:t>
            </w:r>
          </w:p>
        </w:tc>
        <w:tc>
          <w:tcPr>
            <w:tcW w:w="1005" w:type="dxa"/>
            <w:gridSpan w:val="2"/>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4</w:t>
            </w:r>
            <w:r>
              <w:rPr>
                <w:rFonts w:ascii="Times New Roman" w:hAnsi="Times New Roman" w:eastAsia="宋体" w:cs="Times New Roman"/>
                <w:kern w:val="0"/>
                <w:sz w:val="20"/>
                <w:szCs w:val="16"/>
              </w:rPr>
              <w:t>部</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国外出版</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0</w:t>
            </w:r>
            <w:r>
              <w:rPr>
                <w:rFonts w:ascii="Times New Roman" w:hAnsi="Times New Roman" w:eastAsia="宋体" w:cs="Times New Roman"/>
                <w:kern w:val="0"/>
                <w:sz w:val="20"/>
                <w:szCs w:val="16"/>
              </w:rPr>
              <w:t>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restart"/>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奖励</w:t>
            </w:r>
          </w:p>
        </w:tc>
        <w:tc>
          <w:tcPr>
            <w:tcW w:w="1741" w:type="dxa"/>
            <w:gridSpan w:val="2"/>
            <w:tcBorders>
              <w:top w:val="single" w:color="auto" w:sz="2" w:space="0"/>
              <w:bottom w:val="single" w:color="auto" w:sz="2" w:space="0"/>
            </w:tcBorders>
            <w:tcMar>
              <w:left w:w="57"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国家自然科学奖</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一等奖</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二等奖</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1741" w:type="dxa"/>
            <w:gridSpan w:val="2"/>
            <w:tcBorders>
              <w:top w:val="single" w:color="auto" w:sz="2" w:space="0"/>
              <w:bottom w:val="single" w:color="auto" w:sz="2" w:space="0"/>
            </w:tcBorders>
            <w:tcMar>
              <w:left w:w="57"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国家技术发明奖</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一等奖</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二等奖</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1741" w:type="dxa"/>
            <w:gridSpan w:val="2"/>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国家科学技术进步奖</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一等奖</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二等奖</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1741" w:type="dxa"/>
            <w:gridSpan w:val="2"/>
            <w:tcBorders>
              <w:top w:val="single" w:color="auto" w:sz="2" w:space="0"/>
              <w:bottom w:val="single" w:color="auto" w:sz="2" w:space="0"/>
            </w:tcBorders>
            <w:tcMar>
              <w:left w:w="57"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省、部级科技奖励</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一等奖</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2</w:t>
            </w:r>
            <w:r>
              <w:rPr>
                <w:rFonts w:ascii="Times New Roman" w:hAnsi="Times New Roman" w:eastAsia="宋体" w:cs="Times New Roman"/>
                <w:kern w:val="0"/>
                <w:sz w:val="20"/>
                <w:szCs w:val="16"/>
              </w:rPr>
              <w:t>项　</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二等奖</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项目到账</w:t>
            </w:r>
          </w:p>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总经费</w:t>
            </w:r>
          </w:p>
        </w:tc>
        <w:tc>
          <w:tcPr>
            <w:tcW w:w="1741" w:type="dxa"/>
            <w:gridSpan w:val="2"/>
            <w:tcBorders>
              <w:top w:val="single" w:color="auto" w:sz="2" w:space="0"/>
              <w:bottom w:val="single" w:color="auto" w:sz="2" w:space="0"/>
            </w:tcBorders>
            <w:tcMar>
              <w:left w:w="108" w:type="dxa"/>
              <w:right w:w="108" w:type="dxa"/>
            </w:tcMar>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2383万元</w:t>
            </w:r>
          </w:p>
        </w:tc>
        <w:tc>
          <w:tcPr>
            <w:tcW w:w="1699" w:type="dxa"/>
            <w:gridSpan w:val="2"/>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纵向经费</w:t>
            </w:r>
          </w:p>
        </w:tc>
        <w:tc>
          <w:tcPr>
            <w:tcW w:w="1005" w:type="dxa"/>
            <w:gridSpan w:val="2"/>
            <w:tcBorders>
              <w:top w:val="single" w:color="auto" w:sz="2" w:space="0"/>
              <w:bottom w:val="single" w:color="auto" w:sz="2" w:space="0"/>
            </w:tcBorders>
            <w:tcMar>
              <w:left w:w="0" w:type="dxa"/>
              <w:right w:w="0" w:type="dxa"/>
            </w:tcMar>
            <w:vAlign w:val="center"/>
          </w:tcPr>
          <w:p>
            <w:pPr>
              <w:widowControl/>
              <w:adjustRightInd w:val="0"/>
              <w:snapToGrid w:val="0"/>
              <w:ind w:right="-100" w:rightChars="-48"/>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20</w:t>
            </w:r>
            <w:r>
              <w:rPr>
                <w:rFonts w:ascii="Times New Roman" w:hAnsi="Times New Roman" w:eastAsia="宋体" w:cs="Times New Roman"/>
                <w:kern w:val="0"/>
                <w:sz w:val="20"/>
                <w:szCs w:val="16"/>
              </w:rPr>
              <w:t>57万元</w:t>
            </w:r>
          </w:p>
        </w:tc>
        <w:tc>
          <w:tcPr>
            <w:tcW w:w="1682" w:type="dxa"/>
            <w:gridSpan w:val="3"/>
            <w:tcBorders>
              <w:top w:val="single" w:color="auto" w:sz="2" w:space="0"/>
              <w:bottom w:val="single" w:color="auto" w:sz="2" w:space="0"/>
            </w:tcBorders>
            <w:tcMar>
              <w:left w:w="0" w:type="dxa"/>
              <w:right w:w="0" w:type="dxa"/>
            </w:tcMar>
            <w:vAlign w:val="center"/>
          </w:tcPr>
          <w:p>
            <w:pPr>
              <w:widowControl/>
              <w:tabs>
                <w:tab w:val="left" w:pos="0"/>
              </w:tabs>
              <w:adjustRightInd w:val="0"/>
              <w:snapToGrid w:val="0"/>
              <w:ind w:right="-5"/>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横向经费</w:t>
            </w:r>
          </w:p>
        </w:tc>
        <w:tc>
          <w:tcPr>
            <w:tcW w:w="1088" w:type="dxa"/>
            <w:tcBorders>
              <w:top w:val="single" w:color="auto" w:sz="2" w:space="0"/>
              <w:bottom w:val="single" w:color="auto" w:sz="2" w:space="0"/>
            </w:tcBorders>
            <w:tcMar>
              <w:left w:w="0" w:type="dxa"/>
              <w:right w:w="0" w:type="dxa"/>
            </w:tcMar>
            <w:vAlign w:val="center"/>
          </w:tcPr>
          <w:p>
            <w:pPr>
              <w:widowControl/>
              <w:adjustRightInd w:val="0"/>
              <w:snapToGrid w:val="0"/>
              <w:ind w:right="-33" w:rightChars="-16"/>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326</w:t>
            </w:r>
            <w:r>
              <w:rPr>
                <w:rFonts w:ascii="Times New Roman" w:hAnsi="Times New Roman" w:eastAsia="宋体" w:cs="Times New Roman"/>
                <w:kern w:val="0"/>
                <w:sz w:val="20"/>
                <w:szCs w:val="16"/>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restart"/>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发明专利与</w:t>
            </w:r>
          </w:p>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成果转化</w:t>
            </w:r>
          </w:p>
        </w:tc>
        <w:tc>
          <w:tcPr>
            <w:tcW w:w="1741"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发明专利</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申请数</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21</w:t>
            </w:r>
            <w:r>
              <w:rPr>
                <w:rFonts w:ascii="Times New Roman" w:hAnsi="Times New Roman" w:eastAsia="宋体" w:cs="Times New Roman"/>
                <w:kern w:val="0"/>
                <w:sz w:val="20"/>
                <w:szCs w:val="16"/>
              </w:rPr>
              <w:t>项</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授权数</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5</w:t>
            </w:r>
            <w:r>
              <w:rPr>
                <w:rFonts w:ascii="Times New Roman" w:hAnsi="Times New Roman" w:eastAsia="宋体" w:cs="Times New Roman"/>
                <w:kern w:val="0"/>
                <w:sz w:val="20"/>
                <w:szCs w:val="16"/>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1741"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成果转化</w:t>
            </w:r>
          </w:p>
        </w:tc>
        <w:tc>
          <w:tcPr>
            <w:tcW w:w="1699"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转化数</w:t>
            </w:r>
          </w:p>
        </w:tc>
        <w:tc>
          <w:tcPr>
            <w:tcW w:w="1005"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1</w:t>
            </w:r>
            <w:r>
              <w:rPr>
                <w:rFonts w:ascii="Times New Roman" w:hAnsi="Times New Roman" w:eastAsia="宋体" w:cs="Times New Roman"/>
                <w:kern w:val="0"/>
                <w:sz w:val="20"/>
                <w:szCs w:val="16"/>
              </w:rPr>
              <w:t>项</w:t>
            </w:r>
          </w:p>
        </w:tc>
        <w:tc>
          <w:tcPr>
            <w:tcW w:w="1682"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转化总经费</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10</w:t>
            </w:r>
            <w:r>
              <w:rPr>
                <w:rFonts w:ascii="Times New Roman" w:hAnsi="Times New Roman" w:eastAsia="宋体" w:cs="Times New Roman"/>
                <w:kern w:val="0"/>
                <w:sz w:val="20"/>
                <w:szCs w:val="16"/>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1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8"/>
                <w:szCs w:val="16"/>
              </w:rPr>
            </w:pPr>
          </w:p>
        </w:tc>
        <w:tc>
          <w:tcPr>
            <w:tcW w:w="1262" w:type="dxa"/>
            <w:tcBorders>
              <w:top w:val="single" w:color="auto" w:sz="2" w:space="0"/>
              <w:bottom w:val="single" w:color="auto" w:sz="1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标准与规范</w:t>
            </w:r>
          </w:p>
        </w:tc>
        <w:tc>
          <w:tcPr>
            <w:tcW w:w="1741" w:type="dxa"/>
            <w:gridSpan w:val="2"/>
            <w:tcBorders>
              <w:top w:val="single" w:color="auto" w:sz="2" w:space="0"/>
              <w:bottom w:val="single" w:color="auto" w:sz="1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国家标准</w:t>
            </w:r>
          </w:p>
        </w:tc>
        <w:tc>
          <w:tcPr>
            <w:tcW w:w="2704" w:type="dxa"/>
            <w:gridSpan w:val="4"/>
            <w:tcBorders>
              <w:top w:val="single" w:color="auto" w:sz="2" w:space="0"/>
              <w:bottom w:val="single" w:color="auto" w:sz="1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1</w:t>
            </w:r>
            <w:r>
              <w:rPr>
                <w:rFonts w:ascii="Times New Roman" w:hAnsi="Times New Roman" w:eastAsia="宋体" w:cs="Times New Roman"/>
                <w:kern w:val="0"/>
                <w:sz w:val="20"/>
                <w:szCs w:val="16"/>
              </w:rPr>
              <w:t>项</w:t>
            </w:r>
          </w:p>
        </w:tc>
        <w:tc>
          <w:tcPr>
            <w:tcW w:w="1682" w:type="dxa"/>
            <w:gridSpan w:val="3"/>
            <w:tcBorders>
              <w:top w:val="single" w:color="auto" w:sz="2" w:space="0"/>
              <w:bottom w:val="single" w:color="auto" w:sz="1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行业/地方标准</w:t>
            </w:r>
          </w:p>
        </w:tc>
        <w:tc>
          <w:tcPr>
            <w:tcW w:w="1088" w:type="dxa"/>
            <w:tcBorders>
              <w:top w:val="single" w:color="auto" w:sz="2" w:space="0"/>
              <w:bottom w:val="single" w:color="auto" w:sz="1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2" w:space="0"/>
            </w:tcBorders>
            <w:tcMar>
              <w:left w:w="0" w:type="dxa"/>
              <w:right w:w="0" w:type="dxa"/>
            </w:tcMar>
            <w:vAlign w:val="center"/>
          </w:tcPr>
          <w:p>
            <w:pPr>
              <w:adjustRightInd w:val="0"/>
              <w:snapToGrid w:val="0"/>
              <w:spacing w:line="360" w:lineRule="auto"/>
              <w:jc w:val="center"/>
              <w:rPr>
                <w:rFonts w:ascii="Times New Roman" w:hAnsi="Times New Roman" w:eastAsia="宋体" w:cs="Times New Roman"/>
                <w:b/>
                <w:kern w:val="0"/>
                <w:sz w:val="18"/>
                <w:szCs w:val="16"/>
              </w:rPr>
            </w:pPr>
            <w:r>
              <w:rPr>
                <w:rFonts w:ascii="Times New Roman" w:hAnsi="Times New Roman" w:eastAsia="宋体" w:cs="Times New Roman"/>
                <w:b/>
                <w:kern w:val="0"/>
                <w:sz w:val="18"/>
                <w:szCs w:val="16"/>
              </w:rPr>
              <w:t>研究队伍建设</w:t>
            </w:r>
          </w:p>
        </w:tc>
        <w:tc>
          <w:tcPr>
            <w:tcW w:w="1262" w:type="dxa"/>
            <w:vMerge w:val="restart"/>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科技人才</w:t>
            </w:r>
          </w:p>
        </w:tc>
        <w:tc>
          <w:tcPr>
            <w:tcW w:w="2466" w:type="dxa"/>
            <w:gridSpan w:val="3"/>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实验室固定人员</w:t>
            </w:r>
          </w:p>
        </w:tc>
        <w:tc>
          <w:tcPr>
            <w:tcW w:w="1102" w:type="dxa"/>
            <w:gridSpan w:val="2"/>
            <w:tcBorders>
              <w:top w:val="single" w:color="auto" w:sz="1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5</w:t>
            </w:r>
            <w:r>
              <w:rPr>
                <w:rFonts w:ascii="Times New Roman" w:hAnsi="Times New Roman" w:eastAsia="宋体" w:cs="Times New Roman"/>
                <w:kern w:val="0"/>
                <w:sz w:val="20"/>
                <w:szCs w:val="16"/>
              </w:rPr>
              <w:t>1人　</w:t>
            </w:r>
          </w:p>
        </w:tc>
        <w:tc>
          <w:tcPr>
            <w:tcW w:w="2559" w:type="dxa"/>
            <w:gridSpan w:val="4"/>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实验室流动人员</w:t>
            </w:r>
          </w:p>
        </w:tc>
        <w:tc>
          <w:tcPr>
            <w:tcW w:w="1088" w:type="dxa"/>
            <w:tcBorders>
              <w:top w:val="single" w:color="auto" w:sz="12" w:space="0"/>
              <w:bottom w:val="single" w:color="auto" w:sz="2" w:space="0"/>
            </w:tcBorders>
            <w:vAlign w:val="center"/>
          </w:tcPr>
          <w:p>
            <w:pPr>
              <w:widowControl/>
              <w:adjustRightInd w:val="0"/>
              <w:snapToGrid w:val="0"/>
              <w:ind w:right="27" w:rightChars="13"/>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26人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院士</w:t>
            </w:r>
          </w:p>
        </w:tc>
        <w:tc>
          <w:tcPr>
            <w:tcW w:w="1102"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人　</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千人计划</w:t>
            </w:r>
          </w:p>
        </w:tc>
        <w:tc>
          <w:tcPr>
            <w:tcW w:w="1088" w:type="dxa"/>
            <w:tcBorders>
              <w:top w:val="single" w:color="auto" w:sz="2" w:space="0"/>
              <w:bottom w:val="single" w:color="auto" w:sz="2" w:space="0"/>
            </w:tcBorders>
            <w:tcMar>
              <w:left w:w="0" w:type="dxa"/>
              <w:right w:w="0" w:type="dxa"/>
            </w:tcMar>
            <w:vAlign w:val="center"/>
          </w:tcPr>
          <w:p>
            <w:pPr>
              <w:widowControl/>
              <w:wordWrap w:val="0"/>
              <w:adjustRightInd w:val="0"/>
              <w:snapToGrid w:val="0"/>
              <w:ind w:right="27" w:rightChars="13"/>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长期人</w:t>
            </w:r>
          </w:p>
          <w:p>
            <w:pPr>
              <w:widowControl/>
              <w:wordWrap w:val="0"/>
              <w:adjustRightInd w:val="0"/>
              <w:snapToGrid w:val="0"/>
              <w:ind w:right="27" w:rightChars="13"/>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短期人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长江学者</w:t>
            </w:r>
          </w:p>
        </w:tc>
        <w:tc>
          <w:tcPr>
            <w:tcW w:w="1102" w:type="dxa"/>
            <w:gridSpan w:val="2"/>
            <w:tcBorders>
              <w:top w:val="single" w:color="auto" w:sz="2" w:space="0"/>
              <w:bottom w:val="single" w:color="auto" w:sz="2" w:space="0"/>
            </w:tcBorders>
            <w:tcMar>
              <w:left w:w="0" w:type="dxa"/>
              <w:right w:w="0" w:type="dxa"/>
            </w:tcMar>
            <w:vAlign w:val="center"/>
          </w:tcPr>
          <w:p>
            <w:pPr>
              <w:widowControl/>
              <w:wordWrap w:val="0"/>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特聘</w:t>
            </w:r>
            <w:r>
              <w:rPr>
                <w:rFonts w:hint="eastAsia" w:ascii="Times New Roman" w:hAnsi="Times New Roman" w:eastAsia="宋体" w:cs="Times New Roman"/>
                <w:kern w:val="0"/>
                <w:sz w:val="20"/>
                <w:szCs w:val="16"/>
              </w:rPr>
              <w:t>3</w:t>
            </w:r>
            <w:r>
              <w:rPr>
                <w:rFonts w:ascii="Times New Roman" w:hAnsi="Times New Roman" w:eastAsia="宋体" w:cs="Times New Roman"/>
                <w:kern w:val="0"/>
                <w:sz w:val="20"/>
                <w:szCs w:val="16"/>
              </w:rPr>
              <w:t>人</w:t>
            </w:r>
          </w:p>
          <w:p>
            <w:pPr>
              <w:widowControl/>
              <w:wordWrap w:val="0"/>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讲座人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国家杰出青年基金</w:t>
            </w:r>
          </w:p>
        </w:tc>
        <w:tc>
          <w:tcPr>
            <w:tcW w:w="1088" w:type="dxa"/>
            <w:tcBorders>
              <w:top w:val="single" w:color="auto" w:sz="2" w:space="0"/>
              <w:bottom w:val="single" w:color="auto" w:sz="2" w:space="0"/>
            </w:tcBorders>
            <w:vAlign w:val="center"/>
          </w:tcPr>
          <w:p>
            <w:pPr>
              <w:widowControl/>
              <w:wordWrap w:val="0"/>
              <w:adjustRightInd w:val="0"/>
              <w:snapToGrid w:val="0"/>
              <w:ind w:right="27" w:rightChars="13"/>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5</w:t>
            </w:r>
            <w:r>
              <w:rPr>
                <w:rFonts w:ascii="Times New Roman" w:hAnsi="Times New Roman" w:eastAsia="宋体" w:cs="Times New Roman"/>
                <w:kern w:val="0"/>
                <w:sz w:val="20"/>
                <w:szCs w:val="16"/>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青年长江</w:t>
            </w:r>
          </w:p>
        </w:tc>
        <w:tc>
          <w:tcPr>
            <w:tcW w:w="1102" w:type="dxa"/>
            <w:gridSpan w:val="2"/>
            <w:tcBorders>
              <w:top w:val="single" w:color="auto" w:sz="2" w:space="0"/>
              <w:bottom w:val="single" w:color="auto" w:sz="2" w:space="0"/>
            </w:tcBorders>
            <w:vAlign w:val="center"/>
          </w:tcPr>
          <w:p>
            <w:pPr>
              <w:widowControl/>
              <w:wordWrap w:val="0"/>
              <w:adjustRightInd w:val="0"/>
              <w:snapToGrid w:val="0"/>
              <w:ind w:right="27" w:rightChars="13"/>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国家优秀青年基金</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4</w:t>
            </w:r>
            <w:r>
              <w:rPr>
                <w:rFonts w:ascii="Times New Roman" w:hAnsi="Times New Roman" w:eastAsia="宋体" w:cs="Times New Roman"/>
                <w:kern w:val="0"/>
                <w:sz w:val="20"/>
                <w:szCs w:val="16"/>
              </w:rPr>
              <w:t>人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青年千人计划</w:t>
            </w:r>
          </w:p>
        </w:tc>
        <w:tc>
          <w:tcPr>
            <w:tcW w:w="1102" w:type="dxa"/>
            <w:gridSpan w:val="2"/>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2</w:t>
            </w:r>
            <w:r>
              <w:rPr>
                <w:rFonts w:ascii="Times New Roman" w:hAnsi="Times New Roman" w:eastAsia="宋体" w:cs="Times New Roman"/>
                <w:kern w:val="0"/>
                <w:sz w:val="20"/>
                <w:szCs w:val="16"/>
              </w:rPr>
              <w:t>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其他国家、省部级</w:t>
            </w:r>
          </w:p>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人才计划</w:t>
            </w:r>
          </w:p>
        </w:tc>
        <w:tc>
          <w:tcPr>
            <w:tcW w:w="1088" w:type="dxa"/>
            <w:tcBorders>
              <w:top w:val="single" w:color="auto" w:sz="2" w:space="0"/>
              <w:bottom w:val="single" w:color="auto" w:sz="2" w:space="0"/>
            </w:tcBorders>
            <w:vAlign w:val="center"/>
          </w:tcPr>
          <w:p>
            <w:pPr>
              <w:widowControl/>
              <w:adjustRightInd w:val="0"/>
              <w:snapToGrid w:val="0"/>
              <w:ind w:right="27" w:rightChars="13"/>
              <w:jc w:val="right"/>
              <w:rPr>
                <w:rFonts w:ascii="Times New Roman" w:hAnsi="Times New Roman" w:eastAsia="宋体" w:cs="Times New Roman"/>
                <w:kern w:val="0"/>
                <w:sz w:val="20"/>
                <w:szCs w:val="16"/>
              </w:rPr>
            </w:pPr>
            <w:r>
              <w:rPr>
                <w:rFonts w:hint="eastAsia" w:ascii="Times New Roman" w:hAnsi="Times New Roman" w:eastAsia="宋体" w:cs="Times New Roman"/>
                <w:kern w:val="0"/>
                <w:sz w:val="20"/>
                <w:szCs w:val="16"/>
              </w:rPr>
              <w:t>19</w:t>
            </w:r>
            <w:r>
              <w:rPr>
                <w:rFonts w:ascii="Times New Roman" w:hAnsi="Times New Roman" w:eastAsia="宋体" w:cs="Times New Roman"/>
                <w:kern w:val="0"/>
                <w:sz w:val="20"/>
                <w:szCs w:val="16"/>
              </w:rPr>
              <w:t>人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自然科学基金委创新群体</w:t>
            </w:r>
          </w:p>
        </w:tc>
        <w:tc>
          <w:tcPr>
            <w:tcW w:w="1102"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个　</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16"/>
              </w:rPr>
            </w:pPr>
            <w:r>
              <w:rPr>
                <w:rFonts w:ascii="Times New Roman" w:hAnsi="Times New Roman" w:eastAsia="宋体" w:cs="Times New Roman"/>
                <w:kern w:val="0"/>
                <w:sz w:val="20"/>
                <w:szCs w:val="16"/>
              </w:rPr>
              <w:t>科技部重点领域创新团队</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16"/>
              </w:rPr>
            </w:pPr>
            <w:r>
              <w:rPr>
                <w:rFonts w:ascii="Times New Roman" w:hAnsi="Times New Roman" w:eastAsia="宋体" w:cs="Times New Roman"/>
                <w:kern w:val="0"/>
                <w:sz w:val="20"/>
                <w:szCs w:val="16"/>
              </w:rPr>
              <w:t>个</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restart"/>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国际学术</w:t>
            </w:r>
          </w:p>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机构任职</w:t>
            </w:r>
          </w:p>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(据实增删)</w:t>
            </w:r>
          </w:p>
          <w:p>
            <w:pPr>
              <w:widowControl/>
              <w:adjustRightInd w:val="0"/>
              <w:snapToGrid w:val="0"/>
              <w:jc w:val="center"/>
              <w:rPr>
                <w:rFonts w:ascii="Times New Roman" w:hAnsi="Times New Roman" w:eastAsia="宋体" w:cs="Times New Roman"/>
                <w:color w:val="FF0000"/>
                <w:kern w:val="0"/>
                <w:sz w:val="20"/>
                <w:szCs w:val="20"/>
              </w:rPr>
            </w:pPr>
          </w:p>
          <w:p>
            <w:pPr>
              <w:widowControl/>
              <w:adjustRightInd w:val="0"/>
              <w:snapToGrid w:val="0"/>
              <w:jc w:val="center"/>
              <w:rPr>
                <w:rFonts w:ascii="Times New Roman" w:hAnsi="Times New Roman" w:eastAsia="宋体" w:cs="Times New Roman"/>
                <w:color w:val="FF0000"/>
                <w:w w:val="95"/>
                <w:kern w:val="0"/>
                <w:sz w:val="20"/>
                <w:szCs w:val="20"/>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姓名</w:t>
            </w: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任职机构或组织</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restart"/>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周启星</w:t>
            </w:r>
          </w:p>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Soils and Sediments</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Environmental Science and Pollution Research</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Frontiers of Environmental Science &amp; Engineering</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restart"/>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孙红文</w:t>
            </w: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Environmental Science and Pollution Research</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执行编委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Environmental Protection</w:t>
            </w:r>
          </w:p>
        </w:tc>
        <w:tc>
          <w:tcPr>
            <w:tcW w:w="1088" w:type="dxa"/>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祝凌燕</w:t>
            </w: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Scientific Report</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执行编委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restart"/>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陈威</w:t>
            </w: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美国</w:t>
            </w:r>
            <w:r>
              <w:rPr>
                <w:rFonts w:ascii="微软雅黑" w:hAnsi="微软雅黑" w:eastAsia="微软雅黑" w:cs="微软雅黑"/>
                <w:kern w:val="0"/>
                <w:sz w:val="18"/>
                <w:szCs w:val="18"/>
              </w:rPr>
              <w:t>Rice</w:t>
            </w:r>
            <w:r>
              <w:rPr>
                <w:rFonts w:hint="eastAsia" w:ascii="微软雅黑" w:hAnsi="微软雅黑" w:eastAsia="微软雅黑" w:cs="微软雅黑"/>
                <w:kern w:val="0"/>
                <w:sz w:val="18"/>
                <w:szCs w:val="18"/>
              </w:rPr>
              <w:t>大学土木与环境工程系</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客座教授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Environmental Science &amp; Technology</w:t>
            </w:r>
          </w:p>
        </w:tc>
        <w:tc>
          <w:tcPr>
            <w:tcW w:w="1088" w:type="dxa"/>
            <w:tcBorders>
              <w:top w:val="single" w:color="auto" w:sz="2" w:space="0"/>
              <w:bottom w:val="single" w:color="auto" w:sz="2" w:space="0"/>
            </w:tcBorders>
            <w:vAlign w:val="top"/>
          </w:tcPr>
          <w:p>
            <w:pPr>
              <w:jc w:val="cente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Science of the Total Environment</w:t>
            </w:r>
          </w:p>
        </w:tc>
        <w:tc>
          <w:tcPr>
            <w:tcW w:w="1088" w:type="dxa"/>
            <w:tcBorders>
              <w:top w:val="single" w:color="auto" w:sz="2" w:space="0"/>
              <w:bottom w:val="single" w:color="auto" w:sz="2" w:space="0"/>
            </w:tcBorders>
            <w:vAlign w:val="top"/>
          </w:tcPr>
          <w:p>
            <w:pPr>
              <w:jc w:val="cente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Environmental Toxicology and Chemistry</w:t>
            </w:r>
          </w:p>
        </w:tc>
        <w:tc>
          <w:tcPr>
            <w:tcW w:w="1088" w:type="dxa"/>
            <w:tcBorders>
              <w:top w:val="single" w:color="auto" w:sz="2" w:space="0"/>
              <w:bottom w:val="single" w:color="auto" w:sz="2" w:space="0"/>
            </w:tcBorders>
            <w:vAlign w:val="center"/>
          </w:tcPr>
          <w:p>
            <w:pPr>
              <w:widowControl/>
              <w:adjustRightInd w:val="0"/>
              <w:snapToGrid w:val="0"/>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副主编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罗义</w:t>
            </w: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PLoS ONE</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restart"/>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p>
          <w:p>
            <w:pPr>
              <w:widowControl/>
              <w:adjustRightInd w:val="0"/>
              <w:snapToGrid w:val="0"/>
              <w:jc w:val="center"/>
              <w:rPr>
                <w:rFonts w:ascii="微软雅黑" w:hAnsi="微软雅黑" w:eastAsia="微软雅黑" w:cs="微软雅黑"/>
                <w:kern w:val="0"/>
                <w:sz w:val="18"/>
                <w:szCs w:val="18"/>
              </w:rPr>
            </w:pPr>
          </w:p>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周明华</w:t>
            </w: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周明华</w:t>
            </w: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p>
            <w:pPr>
              <w:adjustRightInd w:val="0"/>
              <w:snapToGrid w:val="0"/>
              <w:spacing w:line="240" w:lineRule="atLeast"/>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Environmental Chemistry &amp; Ecotoxicology</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International Journal of Water Resource &amp; Environmental Engineering</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Current Organic Chemistry</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客座编委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color w:val="FF0000"/>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The Scientific World Journal</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编委会成员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color w:val="FF0000"/>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Microbial &amp; Biochemical Technology</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编委会成员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vAlign w:val="center"/>
          </w:tcPr>
          <w:p>
            <w:pPr>
              <w:widowControl/>
              <w:adjustRightInd w:val="0"/>
              <w:snapToGrid w:val="0"/>
              <w:jc w:val="center"/>
              <w:rPr>
                <w:rFonts w:ascii="微软雅黑" w:hAnsi="微软雅黑" w:eastAsia="微软雅黑" w:cs="微软雅黑"/>
                <w:color w:val="FF0000"/>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Engineering</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编委会成员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bottom w:val="single" w:color="auto" w:sz="2" w:space="0"/>
            </w:tcBorders>
            <w:vAlign w:val="center"/>
          </w:tcPr>
          <w:p>
            <w:pPr>
              <w:widowControl/>
              <w:adjustRightInd w:val="0"/>
              <w:snapToGrid w:val="0"/>
              <w:jc w:val="center"/>
              <w:rPr>
                <w:rFonts w:ascii="微软雅黑" w:hAnsi="微软雅黑" w:eastAsia="微软雅黑" w:cs="微软雅黑"/>
                <w:color w:val="FF0000"/>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Bioprocess &amp; Biosystems Engineering</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编辑顾问委员会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黄岁樑</w:t>
            </w: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Journal of Hydrodynamics</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汪磊</w:t>
            </w: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Ecotoxicology and Environmental Safety</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restart"/>
            <w:tcBorders>
              <w:top w:val="single" w:color="auto" w:sz="2" w:space="0"/>
            </w:tcBorders>
            <w:vAlign w:val="center"/>
          </w:tcPr>
          <w:p>
            <w:pPr>
              <w:widowControl/>
              <w:adjustRightInd w:val="0"/>
              <w:snapToGrid w:val="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王鑫</w:t>
            </w: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fldChar w:fldCharType="begin"/>
            </w:r>
            <w:r>
              <w:instrText xml:space="preserve">HYPERLINK "http://onlinelibrary.wiley.com/journal/10.1111/(ISSN)1757-1707;jsessionid=924403B4322C8A7025B6DEAC524B16D0.f03t04" </w:instrText>
            </w:r>
            <w:r>
              <w:fldChar w:fldCharType="separate"/>
            </w:r>
            <w:r>
              <w:rPr>
                <w:rFonts w:ascii="微软雅黑" w:hAnsi="微软雅黑" w:eastAsia="微软雅黑" w:cs="微软雅黑"/>
                <w:kern w:val="0"/>
                <w:sz w:val="18"/>
                <w:szCs w:val="18"/>
              </w:rPr>
              <w:t>GCB Bioenergy</w:t>
            </w:r>
            <w:r>
              <w:fldChar w:fldCharType="end"/>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编辑顾问委员会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vMerge w:val="continue"/>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color w:val="FF0000"/>
                <w:w w:val="90"/>
                <w:kern w:val="0"/>
                <w:sz w:val="20"/>
                <w:szCs w:val="20"/>
              </w:rPr>
            </w:pPr>
          </w:p>
        </w:tc>
        <w:tc>
          <w:tcPr>
            <w:tcW w:w="2466" w:type="dxa"/>
            <w:gridSpan w:val="3"/>
            <w:vMerge w:val="continue"/>
            <w:tcBorders>
              <w:bottom w:val="single" w:color="auto" w:sz="2" w:space="0"/>
            </w:tcBorders>
            <w:vAlign w:val="center"/>
          </w:tcPr>
          <w:p>
            <w:pPr>
              <w:widowControl/>
              <w:adjustRightInd w:val="0"/>
              <w:snapToGrid w:val="0"/>
              <w:jc w:val="center"/>
              <w:rPr>
                <w:rFonts w:ascii="微软雅黑" w:hAnsi="微软雅黑" w:eastAsia="微软雅黑" w:cs="微软雅黑"/>
                <w:color w:val="FF0000"/>
                <w:kern w:val="0"/>
                <w:sz w:val="18"/>
                <w:szCs w:val="18"/>
              </w:rPr>
            </w:pPr>
          </w:p>
        </w:tc>
        <w:tc>
          <w:tcPr>
            <w:tcW w:w="3661" w:type="dxa"/>
            <w:gridSpan w:val="6"/>
            <w:tcBorders>
              <w:top w:val="single" w:color="auto" w:sz="2" w:space="0"/>
              <w:bottom w:val="single" w:color="auto" w:sz="2" w:space="0"/>
            </w:tcBorders>
            <w:vAlign w:val="center"/>
          </w:tcPr>
          <w:p>
            <w:pPr>
              <w:adjustRightInd w:val="0"/>
              <w:snapToGrid w:val="0"/>
              <w:spacing w:line="240" w:lineRule="atLeas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International Journal of Ecological Bioscience&amp;Biotechnology</w:t>
            </w:r>
          </w:p>
        </w:tc>
        <w:tc>
          <w:tcPr>
            <w:tcW w:w="1088" w:type="dxa"/>
            <w:tcBorders>
              <w:top w:val="single" w:color="auto" w:sz="2" w:space="0"/>
              <w:bottom w:val="single" w:color="auto" w:sz="2" w:space="0"/>
            </w:tcBorders>
            <w:vAlign w:val="center"/>
          </w:tcPr>
          <w:p>
            <w:pPr>
              <w:adjustRightInd w:val="0"/>
              <w:snapToGrid w:val="0"/>
              <w:spacing w:line="240" w:lineRule="atLeast"/>
              <w:ind w:right="27" w:rightChars="13"/>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编委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访问学者</w:t>
            </w: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w:t>
            </w:r>
          </w:p>
        </w:tc>
        <w:tc>
          <w:tcPr>
            <w:tcW w:w="1102" w:type="dxa"/>
            <w:gridSpan w:val="2"/>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国外</w:t>
            </w:r>
          </w:p>
        </w:tc>
        <w:tc>
          <w:tcPr>
            <w:tcW w:w="1088" w:type="dxa"/>
            <w:tcBorders>
              <w:top w:val="single" w:color="auto" w:sz="2" w:space="0"/>
              <w:bottom w:val="single" w:color="auto" w:sz="2" w:space="0"/>
            </w:tcBorders>
            <w:vAlign w:val="center"/>
          </w:tcPr>
          <w:p>
            <w:pPr>
              <w:widowControl/>
              <w:adjustRightInd w:val="0"/>
              <w:snapToGrid w:val="0"/>
              <w:ind w:right="27" w:rightChars="13"/>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博士后</w:t>
            </w: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本年度进站博士后</w:t>
            </w:r>
          </w:p>
        </w:tc>
        <w:tc>
          <w:tcPr>
            <w:tcW w:w="1102" w:type="dxa"/>
            <w:gridSpan w:val="2"/>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8人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本年度出站博士后</w:t>
            </w:r>
          </w:p>
        </w:tc>
        <w:tc>
          <w:tcPr>
            <w:tcW w:w="1088" w:type="dxa"/>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Borders>
              <w:top w:val="single" w:color="auto" w:sz="1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学科发展与人才培养</w:t>
            </w:r>
          </w:p>
        </w:tc>
        <w:tc>
          <w:tcPr>
            <w:tcW w:w="1262" w:type="dxa"/>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依托学科</w:t>
            </w:r>
          </w:p>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(据实增删)</w:t>
            </w:r>
          </w:p>
        </w:tc>
        <w:tc>
          <w:tcPr>
            <w:tcW w:w="896" w:type="dxa"/>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学科1</w:t>
            </w:r>
          </w:p>
        </w:tc>
        <w:tc>
          <w:tcPr>
            <w:tcW w:w="1570" w:type="dxa"/>
            <w:gridSpan w:val="2"/>
            <w:tcBorders>
              <w:top w:val="single" w:color="auto" w:sz="1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hint="eastAsia" w:ascii="微软雅黑" w:hAnsi="微软雅黑" w:eastAsia="微软雅黑" w:cs="微软雅黑"/>
                <w:kern w:val="0"/>
                <w:sz w:val="18"/>
                <w:szCs w:val="18"/>
              </w:rPr>
              <w:t>环境科学</w:t>
            </w:r>
          </w:p>
        </w:tc>
        <w:tc>
          <w:tcPr>
            <w:tcW w:w="1102" w:type="dxa"/>
            <w:gridSpan w:val="2"/>
            <w:tcBorders>
              <w:top w:val="single" w:color="auto" w:sz="12" w:space="0"/>
              <w:bottom w:val="single" w:color="auto" w:sz="2" w:space="0"/>
            </w:tcBorders>
            <w:vAlign w:val="center"/>
          </w:tcPr>
          <w:p>
            <w:pPr>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学科2</w:t>
            </w:r>
          </w:p>
        </w:tc>
        <w:tc>
          <w:tcPr>
            <w:tcW w:w="1561" w:type="dxa"/>
            <w:gridSpan w:val="3"/>
            <w:tcBorders>
              <w:top w:val="single" w:color="auto" w:sz="12" w:space="0"/>
              <w:bottom w:val="single" w:color="auto" w:sz="2" w:space="0"/>
            </w:tcBorders>
            <w:vAlign w:val="center"/>
          </w:tcPr>
          <w:p>
            <w:pPr>
              <w:adjustRightInd w:val="0"/>
              <w:snapToGrid w:val="0"/>
              <w:jc w:val="center"/>
              <w:rPr>
                <w:rFonts w:ascii="Times New Roman" w:hAnsi="Times New Roman" w:eastAsia="宋体" w:cs="Times New Roman"/>
                <w:kern w:val="0"/>
                <w:sz w:val="20"/>
                <w:szCs w:val="20"/>
              </w:rPr>
            </w:pPr>
            <w:r>
              <w:rPr>
                <w:rFonts w:hint="eastAsia" w:ascii="微软雅黑" w:hAnsi="微软雅黑" w:eastAsia="微软雅黑" w:cs="微软雅黑"/>
                <w:kern w:val="0"/>
                <w:sz w:val="18"/>
                <w:szCs w:val="18"/>
              </w:rPr>
              <w:t>环境工程</w:t>
            </w:r>
          </w:p>
        </w:tc>
        <w:tc>
          <w:tcPr>
            <w:tcW w:w="998" w:type="dxa"/>
            <w:tcBorders>
              <w:top w:val="single" w:color="auto" w:sz="12" w:space="0"/>
              <w:bottom w:val="single" w:color="auto" w:sz="2" w:space="0"/>
            </w:tcBorders>
            <w:tcMar>
              <w:left w:w="108" w:type="dxa"/>
              <w:right w:w="108" w:type="dxa"/>
            </w:tcMar>
            <w:vAlign w:val="center"/>
          </w:tcPr>
          <w:p>
            <w:pPr>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学科3</w:t>
            </w:r>
          </w:p>
        </w:tc>
        <w:tc>
          <w:tcPr>
            <w:tcW w:w="1088" w:type="dxa"/>
            <w:tcBorders>
              <w:top w:val="single" w:color="auto" w:sz="12" w:space="0"/>
              <w:bottom w:val="single" w:color="auto" w:sz="2" w:space="0"/>
            </w:tcBorders>
            <w:vAlign w:val="center"/>
          </w:tcPr>
          <w:p>
            <w:pPr>
              <w:adjustRightInd w:val="0"/>
              <w:snapToGrid w:val="0"/>
              <w:jc w:val="center"/>
              <w:rPr>
                <w:rFonts w:ascii="Times New Roman" w:hAnsi="Times New Roman" w:eastAsia="宋体" w:cs="Times New Roman"/>
                <w:kern w:val="0"/>
                <w:sz w:val="20"/>
                <w:szCs w:val="20"/>
              </w:rPr>
            </w:pPr>
            <w:r>
              <w:rPr>
                <w:rFonts w:hint="eastAsia" w:ascii="微软雅黑" w:hAnsi="微软雅黑" w:eastAsia="微软雅黑" w:cs="微软雅黑"/>
                <w:kern w:val="0"/>
                <w:sz w:val="18"/>
                <w:szCs w:val="18"/>
              </w:rPr>
              <w:t>环境经济与管理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研究生培养</w:t>
            </w:r>
          </w:p>
        </w:tc>
        <w:tc>
          <w:tcPr>
            <w:tcW w:w="2466" w:type="dxa"/>
            <w:gridSpan w:val="3"/>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在读博士生</w:t>
            </w:r>
          </w:p>
        </w:tc>
        <w:tc>
          <w:tcPr>
            <w:tcW w:w="1102" w:type="dxa"/>
            <w:gridSpan w:val="2"/>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107</w:t>
            </w:r>
            <w:r>
              <w:rPr>
                <w:rFonts w:ascii="Times New Roman" w:hAnsi="Times New Roman" w:eastAsia="宋体" w:cs="Times New Roman"/>
                <w:kern w:val="0"/>
                <w:sz w:val="20"/>
                <w:szCs w:val="20"/>
              </w:rPr>
              <w:t>人</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在读硕士生</w:t>
            </w:r>
          </w:p>
        </w:tc>
        <w:tc>
          <w:tcPr>
            <w:tcW w:w="1088" w:type="dxa"/>
            <w:tcBorders>
              <w:top w:val="single" w:color="auto" w:sz="2" w:space="0"/>
              <w:bottom w:val="single" w:color="auto" w:sz="2" w:space="0"/>
            </w:tcBorders>
            <w:vAlign w:val="center"/>
          </w:tcPr>
          <w:p>
            <w:pPr>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242</w:t>
            </w:r>
            <w:r>
              <w:rPr>
                <w:rFonts w:ascii="Times New Roman" w:hAnsi="Times New Roman" w:eastAsia="宋体" w:cs="Times New Roman"/>
                <w:kern w:val="0"/>
                <w:sz w:val="20"/>
                <w:szCs w:val="20"/>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承担本科课程</w:t>
            </w:r>
          </w:p>
        </w:tc>
        <w:tc>
          <w:tcPr>
            <w:tcW w:w="3568" w:type="dxa"/>
            <w:gridSpan w:val="5"/>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1235</w:t>
            </w:r>
            <w:r>
              <w:rPr>
                <w:rFonts w:ascii="Times New Roman" w:hAnsi="Times New Roman" w:eastAsia="宋体" w:cs="Times New Roman"/>
                <w:kern w:val="0"/>
                <w:sz w:val="20"/>
                <w:szCs w:val="20"/>
              </w:rPr>
              <w:t>学时</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承担研究生课程</w:t>
            </w: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864</w:t>
            </w:r>
            <w:r>
              <w:rPr>
                <w:rFonts w:ascii="Times New Roman" w:hAnsi="Times New Roman" w:eastAsia="宋体" w:cs="Times New Roman"/>
                <w:kern w:val="0"/>
                <w:sz w:val="20"/>
                <w:szCs w:val="20"/>
              </w:rPr>
              <w:t>学时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tcBorders>
              <w:top w:val="single" w:color="auto" w:sz="2" w:space="0"/>
              <w:bottom w:val="single" w:color="auto" w:sz="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1262" w:type="dxa"/>
            <w:tcBorders>
              <w:top w:val="single" w:color="auto" w:sz="2" w:space="0"/>
              <w:bottom w:val="single" w:color="auto" w:sz="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大专院校教材</w:t>
            </w:r>
          </w:p>
        </w:tc>
        <w:tc>
          <w:tcPr>
            <w:tcW w:w="3568" w:type="dxa"/>
            <w:gridSpan w:val="5"/>
            <w:tcBorders>
              <w:top w:val="single" w:color="auto" w:sz="2" w:space="0"/>
              <w:bottom w:val="single" w:color="auto" w:sz="2" w:space="0"/>
            </w:tcBorders>
            <w:vAlign w:val="center"/>
          </w:tcPr>
          <w:p>
            <w:pPr>
              <w:widowControl/>
              <w:wordWrap w:val="0"/>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1 </w:t>
            </w:r>
            <w:r>
              <w:rPr>
                <w:rFonts w:ascii="Times New Roman" w:hAnsi="Times New Roman" w:eastAsia="宋体" w:cs="Times New Roman"/>
                <w:kern w:val="0"/>
                <w:sz w:val="20"/>
                <w:szCs w:val="20"/>
              </w:rPr>
              <w:t>部</w:t>
            </w:r>
          </w:p>
        </w:tc>
        <w:tc>
          <w:tcPr>
            <w:tcW w:w="2559" w:type="dxa"/>
            <w:gridSpan w:val="4"/>
            <w:tcBorders>
              <w:top w:val="single" w:color="auto" w:sz="2" w:space="0"/>
              <w:bottom w:val="single" w:color="auto" w:sz="2" w:space="0"/>
            </w:tcBorders>
            <w:vAlign w:val="center"/>
          </w:tcPr>
          <w:p>
            <w:pPr>
              <w:widowControl/>
              <w:adjustRightInd w:val="0"/>
              <w:snapToGrid w:val="0"/>
              <w:jc w:val="center"/>
              <w:rPr>
                <w:rFonts w:ascii="Times New Roman" w:hAnsi="Times New Roman" w:eastAsia="宋体" w:cs="Times New Roman"/>
                <w:kern w:val="0"/>
                <w:sz w:val="20"/>
                <w:szCs w:val="20"/>
              </w:rPr>
            </w:pPr>
          </w:p>
        </w:tc>
        <w:tc>
          <w:tcPr>
            <w:tcW w:w="1088" w:type="dxa"/>
            <w:tcBorders>
              <w:top w:val="single" w:color="auto" w:sz="2" w:space="0"/>
              <w:bottom w:val="single" w:color="auto" w:sz="2" w:space="0"/>
            </w:tcBorders>
            <w:vAlign w:val="center"/>
          </w:tcPr>
          <w:p>
            <w:pPr>
              <w:widowControl/>
              <w:adjustRightInd w:val="0"/>
              <w:snapToGrid w:val="0"/>
              <w:jc w:val="right"/>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restart"/>
            <w:tcBorders>
              <w:top w:val="single" w:color="auto" w:sz="12" w:space="0"/>
            </w:tcBorders>
            <w:tcMar>
              <w:left w:w="0" w:type="dxa"/>
              <w:right w:w="0" w:type="dxa"/>
            </w:tcMar>
            <w:vAlign w:val="center"/>
          </w:tcPr>
          <w:p>
            <w:pPr>
              <w:widowControl/>
              <w:adjustRightInd w:val="0"/>
              <w:snapToGrid w:val="0"/>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开放与</w:t>
            </w:r>
          </w:p>
          <w:p>
            <w:pPr>
              <w:widowControl/>
              <w:adjustRightInd w:val="0"/>
              <w:snapToGrid w:val="0"/>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运行管理</w:t>
            </w:r>
          </w:p>
        </w:tc>
        <w:tc>
          <w:tcPr>
            <w:tcW w:w="1262" w:type="dxa"/>
            <w:tcBorders>
              <w:top w:val="single" w:color="auto" w:sz="1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承办学术会议</w:t>
            </w:r>
          </w:p>
        </w:tc>
        <w:tc>
          <w:tcPr>
            <w:tcW w:w="896" w:type="dxa"/>
            <w:tcBorders>
              <w:top w:val="single" w:color="auto" w:sz="12" w:space="0"/>
            </w:tcBorders>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国际</w:t>
            </w:r>
          </w:p>
        </w:tc>
        <w:tc>
          <w:tcPr>
            <w:tcW w:w="2672" w:type="dxa"/>
            <w:gridSpan w:val="4"/>
            <w:tcBorders>
              <w:top w:val="single" w:color="auto" w:sz="12" w:space="0"/>
            </w:tcBorders>
            <w:vAlign w:val="center"/>
          </w:tcPr>
          <w:p>
            <w:pPr>
              <w:widowControl/>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次</w:t>
            </w:r>
          </w:p>
        </w:tc>
        <w:tc>
          <w:tcPr>
            <w:tcW w:w="1135" w:type="dxa"/>
            <w:gridSpan w:val="2"/>
            <w:tcBorders>
              <w:top w:val="single" w:color="auto" w:sz="12" w:space="0"/>
            </w:tcBorders>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w:t>
            </w:r>
          </w:p>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(含港澳台)</w:t>
            </w:r>
          </w:p>
        </w:tc>
        <w:tc>
          <w:tcPr>
            <w:tcW w:w="2512" w:type="dxa"/>
            <w:gridSpan w:val="3"/>
            <w:tcBorders>
              <w:top w:val="single" w:color="auto" w:sz="12" w:space="0"/>
            </w:tcBorders>
            <w:vAlign w:val="center"/>
          </w:tcPr>
          <w:p>
            <w:pPr>
              <w:widowControl/>
              <w:wordWrap w:val="0"/>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3    </w:t>
            </w:r>
            <w:r>
              <w:rPr>
                <w:rFonts w:ascii="Times New Roman" w:hAnsi="Times New Roman" w:eastAsia="宋体" w:cs="Times New Roman"/>
                <w:kern w:val="0"/>
                <w:sz w:val="20"/>
                <w:szCs w:val="20"/>
              </w:rPr>
              <w:t>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4830" w:type="dxa"/>
            <w:gridSpan w:val="6"/>
            <w:tcMar>
              <w:left w:w="108" w:type="dxa"/>
              <w:right w:w="108"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年度新增国际合作项目</w:t>
            </w:r>
          </w:p>
        </w:tc>
        <w:tc>
          <w:tcPr>
            <w:tcW w:w="3647" w:type="dxa"/>
            <w:gridSpan w:val="5"/>
            <w:tcMar>
              <w:left w:w="108" w:type="dxa"/>
              <w:right w:w="108" w:type="dxa"/>
            </w:tcMar>
            <w:vAlign w:val="center"/>
          </w:tcPr>
          <w:p>
            <w:pPr>
              <w:widowControl/>
              <w:wordWrap w:val="0"/>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2158" w:type="dxa"/>
            <w:gridSpan w:val="2"/>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实验室面积</w:t>
            </w:r>
          </w:p>
        </w:tc>
        <w:tc>
          <w:tcPr>
            <w:tcW w:w="1570" w:type="dxa"/>
            <w:gridSpan w:val="2"/>
            <w:vAlign w:val="center"/>
          </w:tcPr>
          <w:p>
            <w:pPr>
              <w:widowControl/>
              <w:adjustRightInd w:val="0"/>
              <w:snapToGrid w:val="0"/>
              <w:jc w:val="right"/>
              <w:rPr>
                <w:rFonts w:ascii="Times New Roman" w:hAnsi="Times New Roman" w:eastAsia="宋体" w:cs="Times New Roman"/>
                <w:kern w:val="0"/>
                <w:sz w:val="20"/>
                <w:szCs w:val="20"/>
              </w:rPr>
            </w:pPr>
            <w:r>
              <w:rPr>
                <w:rFonts w:ascii="宋体" w:hAnsi="宋体" w:eastAsia="宋体"/>
                <w:kern w:val="0"/>
                <w:szCs w:val="21"/>
              </w:rPr>
              <w:t>7600</w:t>
            </w:r>
            <w:r>
              <w:rPr>
                <w:rFonts w:ascii="Times New Roman" w:hAnsi="Times New Roman" w:eastAsia="宋体" w:cs="Times New Roman"/>
                <w:kern w:val="0"/>
                <w:sz w:val="20"/>
                <w:szCs w:val="20"/>
              </w:rPr>
              <w:t>　M</w:t>
            </w:r>
            <w:r>
              <w:rPr>
                <w:rFonts w:ascii="Times New Roman" w:hAnsi="Times New Roman" w:eastAsia="宋体" w:cs="Times New Roman"/>
                <w:kern w:val="0"/>
                <w:sz w:val="20"/>
                <w:szCs w:val="20"/>
                <w:vertAlign w:val="superscript"/>
              </w:rPr>
              <w:t>2</w:t>
            </w:r>
          </w:p>
        </w:tc>
        <w:tc>
          <w:tcPr>
            <w:tcW w:w="1102" w:type="dxa"/>
            <w:gridSpan w:val="2"/>
            <w:tcMar>
              <w:left w:w="0" w:type="dxa"/>
              <w:right w:w="0" w:type="dxa"/>
            </w:tcMar>
            <w:vAlign w:val="center"/>
          </w:tcPr>
          <w:p>
            <w:pPr>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实验室网址</w:t>
            </w:r>
          </w:p>
        </w:tc>
        <w:tc>
          <w:tcPr>
            <w:tcW w:w="3647" w:type="dxa"/>
            <w:gridSpan w:val="5"/>
            <w:tcMar>
              <w:left w:w="0" w:type="dxa"/>
              <w:right w:w="0" w:type="dxa"/>
            </w:tcMar>
            <w:vAlign w:val="center"/>
          </w:tcPr>
          <w:p>
            <w:pPr>
              <w:widowControl/>
              <w:adjustRightInd w:val="0"/>
              <w:snapToGrid w:val="0"/>
              <w:jc w:val="left"/>
              <w:rPr>
                <w:rFonts w:ascii="Times New Roman" w:hAnsi="Times New Roman" w:eastAsia="宋体" w:cs="Times New Roman"/>
                <w:kern w:val="0"/>
                <w:sz w:val="24"/>
                <w:szCs w:val="24"/>
              </w:rPr>
            </w:pPr>
            <w:r>
              <w:rPr>
                <w:rFonts w:ascii="Times New Roman" w:hAnsi="Times New Roman" w:eastAsia="宋体"/>
                <w:kern w:val="0"/>
                <w:sz w:val="24"/>
                <w:szCs w:val="24"/>
              </w:rPr>
              <w:t>http://env.nankai.edu.cn/ppe/</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03" w:type="dxa"/>
            <w:vMerge w:val="continue"/>
            <w:vAlign w:val="center"/>
          </w:tcPr>
          <w:p>
            <w:pPr>
              <w:widowControl/>
              <w:adjustRightInd w:val="0"/>
              <w:snapToGrid w:val="0"/>
              <w:spacing w:line="360" w:lineRule="auto"/>
              <w:jc w:val="center"/>
              <w:rPr>
                <w:rFonts w:ascii="Times New Roman" w:hAnsi="Times New Roman" w:eastAsia="宋体" w:cs="Times New Roman"/>
                <w:b/>
                <w:kern w:val="0"/>
                <w:sz w:val="16"/>
                <w:szCs w:val="16"/>
              </w:rPr>
            </w:pPr>
          </w:p>
        </w:tc>
        <w:tc>
          <w:tcPr>
            <w:tcW w:w="2158" w:type="dxa"/>
            <w:gridSpan w:val="2"/>
            <w:tcMar>
              <w:left w:w="0" w:type="dxa"/>
              <w:right w:w="0" w:type="dxa"/>
            </w:tcMar>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主管部门年度经费投入</w:t>
            </w:r>
          </w:p>
        </w:tc>
        <w:tc>
          <w:tcPr>
            <w:tcW w:w="1570" w:type="dxa"/>
            <w:gridSpan w:val="2"/>
            <w:vAlign w:val="center"/>
          </w:tcPr>
          <w:p>
            <w:pPr>
              <w:adjustRightInd w:val="0"/>
              <w:snapToGrid w:val="0"/>
              <w:jc w:val="right"/>
              <w:rPr>
                <w:rFonts w:ascii="Times New Roman" w:hAnsi="Times New Roman" w:eastAsia="宋体" w:cs="Times New Roman"/>
                <w:kern w:val="0"/>
                <w:sz w:val="20"/>
                <w:szCs w:val="20"/>
              </w:rPr>
            </w:pPr>
            <w:r>
              <w:rPr>
                <w:rFonts w:ascii="Times New Roman" w:hAnsi="Times New Roman" w:eastAsia="宋体" w:cs="Times New Roman"/>
                <w:kern w:val="0"/>
                <w:sz w:val="13"/>
                <w:szCs w:val="20"/>
              </w:rPr>
              <w:t>(直属高校不填)</w:t>
            </w:r>
            <w:r>
              <w:rPr>
                <w:rFonts w:ascii="Times New Roman" w:hAnsi="Times New Roman" w:eastAsia="宋体" w:cs="Times New Roman"/>
                <w:kern w:val="0"/>
                <w:sz w:val="20"/>
                <w:szCs w:val="20"/>
              </w:rPr>
              <w:t>万元</w:t>
            </w:r>
          </w:p>
        </w:tc>
        <w:tc>
          <w:tcPr>
            <w:tcW w:w="2237" w:type="dxa"/>
            <w:gridSpan w:val="4"/>
            <w:vAlign w:val="center"/>
          </w:tcPr>
          <w:p>
            <w:pPr>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依托单位年度经费投入</w:t>
            </w:r>
          </w:p>
        </w:tc>
        <w:tc>
          <w:tcPr>
            <w:tcW w:w="2512" w:type="dxa"/>
            <w:gridSpan w:val="3"/>
            <w:vAlign w:val="center"/>
          </w:tcPr>
          <w:p>
            <w:pPr>
              <w:adjustRightInd w:val="0"/>
              <w:snapToGrid w:val="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500</w:t>
            </w:r>
            <w:r>
              <w:rPr>
                <w:rFonts w:ascii="Times New Roman" w:hAnsi="Times New Roman" w:eastAsia="宋体" w:cs="Times New Roman"/>
                <w:kern w:val="0"/>
                <w:sz w:val="20"/>
                <w:szCs w:val="20"/>
              </w:rPr>
              <w:t>万元</w:t>
            </w:r>
          </w:p>
        </w:tc>
      </w:tr>
    </w:tbl>
    <w:p>
      <w:pPr>
        <w:adjustRightInd w:val="0"/>
        <w:snapToGrid w:val="0"/>
        <w:spacing w:afterLines="20"/>
        <w:ind w:firstLine="640" w:firstLineChars="200"/>
        <w:rPr>
          <w:rFonts w:ascii="Times New Roman" w:hAnsi="Times New Roman" w:eastAsia="黑体" w:cs="Times New Roman"/>
          <w:b/>
          <w:sz w:val="32"/>
          <w:szCs w:val="24"/>
        </w:rPr>
      </w:pPr>
    </w:p>
    <w:p>
      <w:pPr>
        <w:adjustRightInd w:val="0"/>
        <w:snapToGrid w:val="0"/>
        <w:spacing w:afterLines="20"/>
        <w:ind w:firstLine="640" w:firstLineChars="200"/>
        <w:rPr>
          <w:rFonts w:ascii="Times New Roman" w:hAnsi="Times New Roman" w:eastAsia="黑体" w:cs="Times New Roman"/>
          <w:sz w:val="32"/>
          <w:szCs w:val="24"/>
        </w:rPr>
      </w:pPr>
    </w:p>
    <w:p>
      <w:pPr>
        <w:widowControl/>
        <w:jc w:val="left"/>
        <w:rPr>
          <w:rFonts w:ascii="Times New Roman" w:hAnsi="Times New Roman" w:eastAsia="黑体" w:cs="Times New Roman"/>
          <w:sz w:val="32"/>
          <w:szCs w:val="24"/>
        </w:rPr>
        <w:sectPr>
          <w:pgSz w:w="11906" w:h="16838"/>
          <w:pgMar w:top="1440" w:right="1797" w:bottom="1701" w:left="1797" w:header="851" w:footer="680" w:gutter="0"/>
          <w:cols w:space="425" w:num="1"/>
          <w:docGrid w:type="linesAndChars" w:linePitch="381" w:charSpace="0"/>
        </w:sectPr>
      </w:pPr>
      <w:r>
        <w:rPr>
          <w:rFonts w:ascii="Times New Roman" w:hAnsi="Times New Roman" w:eastAsia="黑体" w:cs="Times New Roman"/>
          <w:sz w:val="32"/>
          <w:szCs w:val="24"/>
        </w:rPr>
        <w:br w:type="page"/>
      </w:r>
    </w:p>
    <w:p>
      <w:pPr>
        <w:adjustRightInd w:val="0"/>
        <w:snapToGrid w:val="0"/>
        <w:ind w:firstLine="640" w:firstLineChars="200"/>
        <w:rPr>
          <w:rFonts w:ascii="Times New Roman" w:hAnsi="Times New Roman" w:eastAsia="黑体" w:cs="Times New Roman"/>
          <w:b/>
          <w:sz w:val="32"/>
          <w:szCs w:val="24"/>
        </w:rPr>
      </w:pPr>
      <w:r>
        <w:rPr>
          <w:rFonts w:ascii="Times New Roman" w:hAnsi="Times New Roman" w:eastAsia="黑体" w:cs="Times New Roman"/>
          <w:sz w:val="32"/>
          <w:szCs w:val="24"/>
        </w:rPr>
        <w:t>二</w:t>
      </w:r>
      <w:r>
        <w:rPr>
          <w:rFonts w:ascii="Times New Roman" w:hAnsi="Times New Roman" w:eastAsia="黑体" w:cs="Times New Roman"/>
          <w:b/>
          <w:sz w:val="32"/>
          <w:szCs w:val="24"/>
        </w:rPr>
        <w:t>、研究水平与贡献</w:t>
      </w: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1、主要研究成果与贡献</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4" w:hRule="atLeast"/>
        </w:trPr>
        <w:tc>
          <w:tcPr>
            <w:tcW w:w="8302" w:type="dxa"/>
            <w:vAlign w:val="top"/>
          </w:tcPr>
          <w:p>
            <w:pPr>
              <w:adjustRightInd w:val="0"/>
              <w:snapToGrid w:val="0"/>
              <w:spacing w:beforeLines="2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pPr>
              <w:adjustRightInd w:val="0"/>
              <w:snapToGrid w:val="0"/>
              <w:spacing w:beforeLines="50"/>
              <w:ind w:firstLine="480" w:firstLineChars="200"/>
              <w:rPr>
                <w:rFonts w:ascii="宋体" w:hAnsi="宋体" w:eastAsia="宋体" w:cs="Times New Roman"/>
                <w:sz w:val="24"/>
                <w:szCs w:val="24"/>
              </w:rPr>
            </w:pP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年度发表学术论文</w:t>
            </w:r>
            <w:r>
              <w:rPr>
                <w:rFonts w:ascii="宋体" w:hAnsi="宋体" w:eastAsia="宋体" w:cs="Times New Roman"/>
                <w:sz w:val="24"/>
                <w:szCs w:val="24"/>
              </w:rPr>
              <w:t>114</w:t>
            </w:r>
            <w:r>
              <w:rPr>
                <w:rFonts w:hint="eastAsia" w:ascii="宋体" w:hAnsi="宋体" w:eastAsia="宋体" w:cs="Times New Roman"/>
                <w:sz w:val="24"/>
                <w:szCs w:val="24"/>
              </w:rPr>
              <w:t>篇，其中SCI摘引论文93篇，影响因子＞4.0以上54篇，申请发明专利21项，授权5项。</w:t>
            </w:r>
          </w:p>
          <w:p>
            <w:pPr>
              <w:widowControl/>
              <w:adjustRightInd w:val="0"/>
              <w:snapToGrid w:val="0"/>
              <w:spacing w:beforeLines="50" w:line="400" w:lineRule="exact"/>
              <w:ind w:firstLine="480"/>
              <w:jc w:val="left"/>
              <w:rPr>
                <w:rFonts w:ascii="宋体" w:hAnsi="宋体" w:eastAsia="宋体" w:cs="宋体"/>
                <w:color w:val="000000"/>
                <w:kern w:val="0"/>
                <w:sz w:val="24"/>
              </w:rPr>
            </w:pPr>
            <w:r>
              <w:rPr>
                <w:rFonts w:hint="eastAsia" w:ascii="宋体" w:hAnsi="宋体" w:eastAsia="宋体" w:cs="宋体"/>
                <w:color w:val="000000"/>
                <w:kern w:val="0"/>
                <w:sz w:val="24"/>
              </w:rPr>
              <w:t>方向一、环境污染过程</w:t>
            </w:r>
          </w:p>
          <w:p>
            <w:pPr>
              <w:ind w:firstLine="480" w:firstLineChars="200"/>
              <w:rPr>
                <w:rFonts w:ascii="宋体" w:hAnsi="宋体" w:eastAsia="宋体"/>
                <w:sz w:val="24"/>
                <w:szCs w:val="24"/>
              </w:rPr>
            </w:pPr>
            <w:r>
              <w:rPr>
                <w:rFonts w:hint="eastAsia" w:ascii="Times New Roman" w:hAnsi="Times New Roman" w:eastAsia="宋体" w:cs="宋体"/>
                <w:color w:val="000000"/>
                <w:kern w:val="0"/>
                <w:sz w:val="24"/>
              </w:rPr>
              <w:t>针对典型新兴污染物的来源、区域污染特征、迁移转化与人体暴露进行了系统研究，获得若干科学发现：通过对环渤海地区的全氟化合物的大气迁移、相间分配和季节变化研究，发现了挥发性前体物</w:t>
            </w:r>
            <w:r>
              <w:rPr>
                <w:rFonts w:ascii="Times New Roman" w:hAnsi="Times New Roman" w:eastAsia="宋体" w:cs="宋体"/>
                <w:color w:val="000000"/>
                <w:kern w:val="0"/>
                <w:sz w:val="24"/>
              </w:rPr>
              <w:t>FTOHs</w:t>
            </w:r>
            <w:r>
              <w:rPr>
                <w:rFonts w:hint="eastAsia" w:ascii="Times New Roman" w:hAnsi="Times New Roman" w:eastAsia="宋体" w:cs="宋体"/>
                <w:color w:val="000000"/>
                <w:kern w:val="0"/>
                <w:sz w:val="24"/>
              </w:rPr>
              <w:t>的</w:t>
            </w:r>
            <w:r>
              <w:rPr>
                <w:rFonts w:ascii="Times New Roman" w:hAnsi="Times New Roman" w:eastAsia="宋体" w:cs="宋体"/>
                <w:color w:val="000000"/>
                <w:kern w:val="0"/>
                <w:sz w:val="24"/>
              </w:rPr>
              <w:t>贡献最高</w:t>
            </w:r>
            <w:r>
              <w:rPr>
                <w:rFonts w:hint="eastAsia" w:ascii="Times New Roman" w:hAnsi="Times New Roman" w:eastAsia="宋体" w:cs="宋体"/>
                <w:color w:val="000000"/>
                <w:kern w:val="0"/>
                <w:sz w:val="24"/>
              </w:rPr>
              <w:t>，大气颗粒物是</w:t>
            </w:r>
            <w:r>
              <w:rPr>
                <w:rFonts w:ascii="Times New Roman" w:hAnsi="Times New Roman" w:eastAsia="宋体" w:cs="宋体"/>
                <w:color w:val="000000"/>
                <w:kern w:val="0"/>
                <w:sz w:val="24"/>
              </w:rPr>
              <w:t>PFASs大气迁移的重要载体</w:t>
            </w:r>
            <w:r>
              <w:rPr>
                <w:rFonts w:hint="eastAsia" w:ascii="Times New Roman" w:hAnsi="Times New Roman" w:eastAsia="宋体" w:cs="宋体"/>
                <w:color w:val="000000"/>
                <w:kern w:val="0"/>
                <w:sz w:val="24"/>
              </w:rPr>
              <w:t>；河流输入，特别是太湖西北区是太湖全氟化合物的主要来源，精细异构体指纹特征揭示前驱物降解是太湖水系的</w:t>
            </w:r>
            <w:r>
              <w:rPr>
                <w:rFonts w:ascii="Times New Roman" w:hAnsi="Times New Roman" w:eastAsia="宋体" w:cs="宋体"/>
                <w:color w:val="000000"/>
                <w:kern w:val="0"/>
                <w:sz w:val="24"/>
              </w:rPr>
              <w:t>PFOS、PFOA等的重要来源</w:t>
            </w:r>
            <w:r>
              <w:rPr>
                <w:rFonts w:hint="eastAsia" w:ascii="Times New Roman" w:hAnsi="Times New Roman" w:eastAsia="宋体" w:cs="宋体"/>
                <w:color w:val="000000"/>
                <w:kern w:val="0"/>
                <w:sz w:val="24"/>
              </w:rPr>
              <w:t>。发现邻苯二甲酸单酯（</w:t>
            </w:r>
            <w:r>
              <w:rPr>
                <w:rFonts w:ascii="Times New Roman" w:hAnsi="Times New Roman" w:eastAsia="宋体" w:cs="宋体"/>
                <w:color w:val="000000"/>
                <w:kern w:val="0"/>
                <w:sz w:val="24"/>
              </w:rPr>
              <w:t>mPAEs</w:t>
            </w:r>
            <w:r>
              <w:rPr>
                <w:rFonts w:hint="eastAsia" w:ascii="Times New Roman" w:hAnsi="Times New Roman" w:eastAsia="宋体" w:cs="宋体"/>
                <w:color w:val="000000"/>
                <w:kern w:val="0"/>
                <w:sz w:val="24"/>
              </w:rPr>
              <w:t>）</w:t>
            </w:r>
            <w:r>
              <w:rPr>
                <w:rFonts w:ascii="Times New Roman" w:hAnsi="Times New Roman" w:eastAsia="宋体" w:cs="宋体"/>
                <w:color w:val="000000"/>
                <w:kern w:val="0"/>
                <w:sz w:val="24"/>
              </w:rPr>
              <w:t>可能通过诱导氧化应激引发2型糖尿病</w:t>
            </w:r>
            <w:r>
              <w:rPr>
                <w:rFonts w:hint="eastAsia" w:ascii="Times New Roman" w:hAnsi="Times New Roman" w:eastAsia="宋体" w:cs="宋体"/>
                <w:color w:val="000000"/>
                <w:kern w:val="0"/>
                <w:sz w:val="24"/>
              </w:rPr>
              <w:t>，超重或肥胖人群很可能是</w:t>
            </w:r>
            <w:r>
              <w:rPr>
                <w:rFonts w:ascii="Times New Roman" w:hAnsi="Times New Roman" w:eastAsia="宋体" w:cs="宋体"/>
                <w:color w:val="000000"/>
                <w:kern w:val="0"/>
                <w:sz w:val="24"/>
              </w:rPr>
              <w:t>PAEs暴露的易感人群</w:t>
            </w:r>
            <w:r>
              <w:rPr>
                <w:rFonts w:hint="eastAsia" w:ascii="Times New Roman" w:hAnsi="Times New Roman" w:eastAsia="宋体" w:cs="宋体"/>
                <w:color w:val="000000"/>
                <w:kern w:val="0"/>
                <w:sz w:val="24"/>
              </w:rPr>
              <w:t>；</w:t>
            </w:r>
            <w:r>
              <w:rPr>
                <w:rFonts w:hint="eastAsia" w:ascii="宋体" w:hAnsi="宋体" w:eastAsia="宋体"/>
                <w:sz w:val="24"/>
                <w:szCs w:val="24"/>
              </w:rPr>
              <w:t>在构建以荧光标记质粒为载体的接合转移模型基础上，发现了亚致死剂量的纳米氧化锌显著促进质粒介导的抗生素耐药基因发生水平转移，发现了结合性多重耐药质粒促进了耐药基因在环境中的传播；发现了苯并三唑造成水生动物镉富集增加，但同时使镉致氧化损伤指标降低。评估了苯并杂环典型物质的广泛污染以及通过饮水导致的暴露贡献；污水处理厂出水和活性污泥是人工纳米材料（Nano-TiO2）环境释放的重要途径，污水处理工艺无法阻断</w:t>
            </w:r>
            <w:r>
              <w:rPr>
                <w:rFonts w:ascii="宋体" w:hAnsi="宋体" w:eastAsia="宋体"/>
                <w:sz w:val="24"/>
                <w:szCs w:val="24"/>
              </w:rPr>
              <w:t>TiO2的环境释放</w:t>
            </w:r>
            <w:r>
              <w:rPr>
                <w:rFonts w:hint="eastAsia" w:ascii="宋体" w:hAnsi="宋体" w:eastAsia="宋体"/>
                <w:sz w:val="24"/>
                <w:szCs w:val="24"/>
              </w:rPr>
              <w:t>，释放进入水中的水体中的纳米</w:t>
            </w:r>
            <w:r>
              <w:rPr>
                <w:rFonts w:ascii="宋体" w:hAnsi="宋体" w:eastAsia="宋体"/>
                <w:sz w:val="24"/>
                <w:szCs w:val="24"/>
              </w:rPr>
              <w:t>TiO2促进鱼体对PFOS的富集</w:t>
            </w:r>
            <w:r>
              <w:rPr>
                <w:rFonts w:hint="eastAsia" w:ascii="宋体" w:hAnsi="宋体" w:eastAsia="宋体"/>
                <w:sz w:val="24"/>
                <w:szCs w:val="24"/>
              </w:rPr>
              <w:t>。</w:t>
            </w:r>
          </w:p>
          <w:p>
            <w:pPr>
              <w:widowControl/>
              <w:adjustRightInd w:val="0"/>
              <w:snapToGrid w:val="0"/>
              <w:spacing w:beforeLines="50" w:line="400" w:lineRule="exact"/>
              <w:ind w:firstLine="480"/>
              <w:jc w:val="left"/>
              <w:rPr>
                <w:rFonts w:ascii="宋体" w:hAnsi="宋体" w:eastAsia="宋体" w:cs="宋体"/>
                <w:color w:val="000000"/>
                <w:kern w:val="0"/>
                <w:sz w:val="24"/>
              </w:rPr>
            </w:pPr>
            <w:r>
              <w:rPr>
                <w:rFonts w:hint="eastAsia" w:ascii="宋体" w:hAnsi="宋体" w:eastAsia="宋体" w:cs="宋体"/>
                <w:color w:val="000000"/>
                <w:kern w:val="0"/>
                <w:sz w:val="24"/>
              </w:rPr>
              <w:t>方向二、生态毒理效应与环境基准</w:t>
            </w:r>
          </w:p>
          <w:p>
            <w:pPr>
              <w:ind w:firstLine="480" w:firstLineChars="200"/>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针对氧化石墨烯的微观制毒机理以及复合污染物的生态毒理效应取得了新的认识，发现了氧化石墨烯引起斑马鱼神经毒性以及发育异常，通过分析影响根系发育的激素、转录因子，探讨了</w:t>
            </w:r>
            <w:r>
              <w:rPr>
                <w:rFonts w:ascii="Times New Roman" w:hAnsi="Times New Roman" w:eastAsia="宋体" w:cs="宋体"/>
                <w:color w:val="000000"/>
                <w:kern w:val="0"/>
                <w:sz w:val="24"/>
              </w:rPr>
              <w:t>GO介导的根系发育和细胞壁合成情况，阐述了纳米材料的吸收及引起植物毒性的机理</w:t>
            </w:r>
            <w:r>
              <w:rPr>
                <w:rFonts w:hint="eastAsia" w:ascii="Times New Roman" w:hAnsi="Times New Roman" w:eastAsia="宋体" w:cs="宋体"/>
                <w:color w:val="000000"/>
                <w:kern w:val="0"/>
                <w:sz w:val="24"/>
              </w:rPr>
              <w:t>；针对水环境生态学基准进行了系统研究，在水专项“十二五”研究取得了研究进展，继续承担水专项“十三五”子课题，建立了我国流域水环境生态学基准制定流程框架，构建了流域水环境生态学基准制定技术与方法以及流域水环境生态学基准验证技术与方法，在此基础上计算出我国十大重点流域</w:t>
            </w:r>
            <w:r>
              <w:rPr>
                <w:rFonts w:ascii="Times New Roman" w:hAnsi="Times New Roman" w:eastAsia="宋体" w:cs="宋体"/>
                <w:color w:val="000000"/>
                <w:kern w:val="0"/>
                <w:sz w:val="24"/>
              </w:rPr>
              <w:t>COD基准阈值，并尝试转化为太湖流域的标准建议值。</w:t>
            </w:r>
            <w:r>
              <w:rPr>
                <w:rFonts w:hint="eastAsia" w:ascii="Times New Roman" w:hAnsi="Times New Roman" w:eastAsia="宋体" w:cs="宋体"/>
                <w:color w:val="000000"/>
                <w:kern w:val="0"/>
                <w:sz w:val="24"/>
              </w:rPr>
              <w:t>采用数值模拟技术，基于水功能区控制单元的流域突发性水污染事件，进行了风险评价区划及其在滦河中、上游流域的应用。</w:t>
            </w:r>
          </w:p>
          <w:p>
            <w:pPr>
              <w:widowControl/>
              <w:adjustRightInd w:val="0"/>
              <w:snapToGrid w:val="0"/>
              <w:spacing w:beforeLines="50" w:line="400" w:lineRule="exact"/>
              <w:ind w:firstLine="480"/>
              <w:jc w:val="left"/>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方向三、污染环境修复</w:t>
            </w:r>
          </w:p>
          <w:p>
            <w:pPr>
              <w:widowControl/>
              <w:adjustRightInd w:val="0"/>
              <w:snapToGrid w:val="0"/>
              <w:spacing w:beforeLines="50" w:line="400" w:lineRule="exact"/>
              <w:ind w:firstLine="480"/>
              <w:jc w:val="left"/>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系统开展了新兴有机污染物的高级氧化技术</w:t>
            </w:r>
            <w:r>
              <w:rPr>
                <w:rFonts w:ascii="Times New Roman" w:hAnsi="Times New Roman" w:eastAsia="宋体" w:cs="宋体"/>
                <w:color w:val="000000"/>
                <w:kern w:val="0"/>
                <w:sz w:val="24"/>
              </w:rPr>
              <w:t>(AOPs)去除</w:t>
            </w:r>
            <w:r>
              <w:rPr>
                <w:rFonts w:hint="eastAsia" w:ascii="Times New Roman" w:hAnsi="Times New Roman" w:eastAsia="宋体" w:cs="宋体"/>
                <w:color w:val="000000"/>
                <w:kern w:val="0"/>
                <w:sz w:val="24"/>
              </w:rPr>
              <w:t>研究，利用磁化铁的磁记忆性改善其催化氧化活性，开展了新型预磁化铁催化氧化和原位碳催化氧化研究，</w:t>
            </w:r>
            <w:r>
              <w:rPr>
                <w:rFonts w:ascii="Times New Roman" w:hAnsi="Times New Roman" w:eastAsia="宋体" w:cs="宋体"/>
                <w:color w:val="000000"/>
                <w:kern w:val="0"/>
                <w:sz w:val="24"/>
              </w:rPr>
              <w:t>实现</w:t>
            </w:r>
            <w:r>
              <w:rPr>
                <w:rFonts w:hint="eastAsia" w:ascii="Times New Roman" w:hAnsi="Times New Roman" w:eastAsia="宋体" w:cs="宋体"/>
                <w:color w:val="000000"/>
                <w:kern w:val="0"/>
                <w:sz w:val="24"/>
              </w:rPr>
              <w:t>了</w:t>
            </w:r>
            <w:r>
              <w:rPr>
                <w:rFonts w:ascii="Times New Roman" w:hAnsi="Times New Roman" w:eastAsia="宋体" w:cs="宋体"/>
                <w:color w:val="000000"/>
                <w:kern w:val="0"/>
                <w:sz w:val="24"/>
              </w:rPr>
              <w:t>几倍</w:t>
            </w:r>
            <w:r>
              <w:rPr>
                <w:rFonts w:hint="eastAsia" w:ascii="Times New Roman" w:hAnsi="Times New Roman" w:eastAsia="宋体" w:cs="宋体"/>
                <w:color w:val="000000"/>
                <w:kern w:val="0"/>
                <w:sz w:val="24"/>
              </w:rPr>
              <w:t>到近</w:t>
            </w:r>
            <w:r>
              <w:rPr>
                <w:rFonts w:ascii="Times New Roman" w:hAnsi="Times New Roman" w:eastAsia="宋体" w:cs="宋体"/>
                <w:color w:val="000000"/>
                <w:kern w:val="0"/>
                <w:sz w:val="24"/>
              </w:rPr>
              <w:t>百倍的反应速率提升</w:t>
            </w:r>
            <w:r>
              <w:rPr>
                <w:rFonts w:hint="eastAsia" w:ascii="Times New Roman" w:hAnsi="Times New Roman" w:eastAsia="宋体" w:cs="宋体"/>
                <w:color w:val="000000"/>
                <w:kern w:val="0"/>
                <w:sz w:val="24"/>
              </w:rPr>
              <w:t>，该技术具有广泛的适用性，对多类有机污染物去除均体现了很好的提升效果；采用生物电化学技术（</w:t>
            </w:r>
            <w:r>
              <w:rPr>
                <w:rFonts w:ascii="Times New Roman" w:hAnsi="Times New Roman" w:eastAsia="宋体" w:cs="宋体"/>
                <w:color w:val="000000"/>
                <w:kern w:val="0"/>
                <w:sz w:val="24"/>
              </w:rPr>
              <w:t>BET）</w:t>
            </w:r>
            <w:r>
              <w:rPr>
                <w:rFonts w:hint="eastAsia" w:ascii="Times New Roman" w:hAnsi="Times New Roman" w:eastAsia="宋体" w:cs="宋体"/>
                <w:color w:val="000000"/>
                <w:kern w:val="0"/>
                <w:sz w:val="24"/>
              </w:rPr>
              <w:t>开展了</w:t>
            </w:r>
            <w:r>
              <w:rPr>
                <w:rFonts w:ascii="Times New Roman" w:hAnsi="Times New Roman" w:eastAsia="宋体" w:cs="宋体"/>
                <w:color w:val="000000"/>
                <w:kern w:val="0"/>
                <w:sz w:val="24"/>
              </w:rPr>
              <w:t>石油烃污染土壤</w:t>
            </w:r>
            <w:r>
              <w:rPr>
                <w:rFonts w:hint="eastAsia" w:ascii="Times New Roman" w:hAnsi="Times New Roman" w:eastAsia="宋体" w:cs="宋体"/>
                <w:color w:val="000000"/>
                <w:kern w:val="0"/>
                <w:sz w:val="24"/>
              </w:rPr>
              <w:t>的原位</w:t>
            </w:r>
            <w:r>
              <w:rPr>
                <w:rFonts w:ascii="Times New Roman" w:hAnsi="Times New Roman" w:eastAsia="宋体" w:cs="宋体"/>
                <w:color w:val="000000"/>
                <w:kern w:val="0"/>
                <w:sz w:val="24"/>
              </w:rPr>
              <w:t>修复</w:t>
            </w:r>
            <w:r>
              <w:rPr>
                <w:rFonts w:hint="eastAsia" w:ascii="Times New Roman" w:hAnsi="Times New Roman" w:eastAsia="宋体" w:cs="宋体"/>
                <w:color w:val="000000"/>
                <w:kern w:val="0"/>
                <w:sz w:val="24"/>
              </w:rPr>
              <w:t>研究，通过人工强化土壤中的电活性微生物，使石油烃的降解速率提升了近</w:t>
            </w:r>
            <w:r>
              <w:rPr>
                <w:rFonts w:ascii="Times New Roman" w:hAnsi="Times New Roman" w:eastAsia="宋体" w:cs="宋体"/>
                <w:color w:val="000000"/>
                <w:kern w:val="0"/>
                <w:sz w:val="24"/>
              </w:rPr>
              <w:t>3倍</w:t>
            </w:r>
            <w:r>
              <w:rPr>
                <w:rFonts w:hint="eastAsia" w:ascii="Times New Roman" w:hAnsi="Times New Roman" w:eastAsia="宋体" w:cs="宋体"/>
                <w:color w:val="000000"/>
                <w:kern w:val="0"/>
                <w:sz w:val="24"/>
              </w:rPr>
              <w:t>，并发现了妥布霉素可作为信号分子调控电活性生物膜的形成，亚抑制浓度妥布霉素可从混合环境菌群中选择性富集电活性微生物</w:t>
            </w:r>
            <w:r>
              <w:rPr>
                <w:rFonts w:ascii="Times New Roman" w:hAnsi="Times New Roman" w:eastAsia="宋体" w:cs="宋体"/>
                <w:i/>
                <w:color w:val="000000"/>
                <w:kern w:val="0"/>
                <w:sz w:val="24"/>
              </w:rPr>
              <w:t>Geobacter</w:t>
            </w:r>
            <w:r>
              <w:rPr>
                <w:rFonts w:hint="eastAsia" w:ascii="Times New Roman" w:hAnsi="Times New Roman" w:eastAsia="宋体" w:cs="宋体"/>
                <w:color w:val="000000"/>
                <w:kern w:val="0"/>
                <w:sz w:val="24"/>
              </w:rPr>
              <w:t>，使生物膜电活性显著提升；开展了水体微污染物在固</w:t>
            </w:r>
            <w:r>
              <w:rPr>
                <w:rFonts w:ascii="Times New Roman" w:hAnsi="Times New Roman" w:eastAsia="宋体" w:cs="宋体"/>
                <w:color w:val="000000"/>
                <w:kern w:val="0"/>
                <w:sz w:val="24"/>
              </w:rPr>
              <w:t>/液微界面的</w:t>
            </w:r>
            <w:r>
              <w:rPr>
                <w:rFonts w:hint="eastAsia" w:ascii="Times New Roman" w:hAnsi="Times New Roman" w:eastAsia="宋体" w:cs="宋体"/>
                <w:color w:val="000000"/>
                <w:kern w:val="0"/>
                <w:sz w:val="24"/>
              </w:rPr>
              <w:t>绿色净化过程与控制原理研究，依据界面化学过程及原理，通过材料表面改性，实现了病原微生物和化学污染物的吸附氧化一体化去除；制备了三种新型生物炭复合材料，深入研究了其对环境污染物的修复机理，对石油烃降解微生物群落研究中发现了高效的降解基因，并在天津滨海新区开展大规模的应用示范研究。</w:t>
            </w:r>
          </w:p>
        </w:tc>
      </w:tr>
    </w:tbl>
    <w:p>
      <w:pPr>
        <w:adjustRightInd w:val="0"/>
        <w:snapToGrid w:val="0"/>
        <w:ind w:firstLine="562" w:firstLineChars="200"/>
        <w:rPr>
          <w:rFonts w:ascii="Times New Roman" w:hAnsi="Times New Roman" w:eastAsia="黑体" w:cs="Times New Roman"/>
          <w:b/>
          <w:sz w:val="28"/>
          <w:szCs w:val="24"/>
        </w:rPr>
      </w:pP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2、承担科研任务</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48" w:hRule="atLeast"/>
        </w:trPr>
        <w:tc>
          <w:tcPr>
            <w:tcW w:w="8302" w:type="dxa"/>
            <w:vAlign w:val="top"/>
          </w:tcPr>
          <w:p>
            <w:pPr>
              <w:adjustRightInd w:val="0"/>
              <w:snapToGrid w:val="0"/>
              <w:spacing w:beforeLines="2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概述实验室本年度科研任务总体情况。</w:t>
            </w:r>
          </w:p>
          <w:p>
            <w:pPr>
              <w:adjustRightInd w:val="0"/>
              <w:snapToGrid w:val="0"/>
              <w:spacing w:line="400" w:lineRule="exact"/>
              <w:ind w:firstLine="482"/>
              <w:rPr>
                <w:rFonts w:ascii="Times New Roman" w:hAnsi="Times New Roman" w:eastAsia="宋体" w:cs="微软雅黑"/>
                <w:sz w:val="24"/>
                <w:szCs w:val="24"/>
              </w:rPr>
            </w:pPr>
            <w:r>
              <w:rPr>
                <w:rFonts w:hint="eastAsia" w:ascii="Times New Roman" w:hAnsi="Times New Roman" w:eastAsia="宋体" w:cs="微软雅黑"/>
                <w:sz w:val="24"/>
                <w:szCs w:val="24"/>
              </w:rPr>
              <w:t>2017年，到账科研经费2883万元。其中依托单位</w:t>
            </w:r>
            <w:r>
              <w:rPr>
                <w:rFonts w:ascii="Times New Roman" w:hAnsi="Times New Roman" w:eastAsia="宋体" w:cs="微软雅黑"/>
                <w:sz w:val="24"/>
                <w:szCs w:val="24"/>
              </w:rPr>
              <w:t>支持</w:t>
            </w:r>
            <w:r>
              <w:rPr>
                <w:rFonts w:hint="eastAsia" w:ascii="Times New Roman" w:hAnsi="Times New Roman" w:eastAsia="宋体" w:cs="微软雅黑"/>
                <w:sz w:val="24"/>
                <w:szCs w:val="24"/>
              </w:rPr>
              <w:t>的</w:t>
            </w:r>
            <w:r>
              <w:rPr>
                <w:rFonts w:ascii="Times New Roman" w:hAnsi="Times New Roman" w:eastAsia="宋体" w:cs="微软雅黑"/>
                <w:sz w:val="24"/>
                <w:szCs w:val="24"/>
              </w:rPr>
              <w:t>运行经费</w:t>
            </w:r>
            <w:r>
              <w:rPr>
                <w:rFonts w:hint="eastAsia" w:ascii="Times New Roman" w:hAnsi="Times New Roman" w:eastAsia="宋体" w:cs="微软雅黑"/>
                <w:sz w:val="24"/>
                <w:szCs w:val="24"/>
              </w:rPr>
              <w:t>100万元</w:t>
            </w:r>
            <w:r>
              <w:rPr>
                <w:rFonts w:ascii="Times New Roman" w:hAnsi="Times New Roman" w:eastAsia="宋体" w:cs="微软雅黑"/>
                <w:sz w:val="24"/>
                <w:szCs w:val="24"/>
              </w:rPr>
              <w:t>与</w:t>
            </w:r>
            <w:r>
              <w:rPr>
                <w:rFonts w:hint="eastAsia" w:ascii="Times New Roman" w:hAnsi="Times New Roman" w:eastAsia="宋体" w:cs="微软雅黑"/>
                <w:sz w:val="24"/>
                <w:szCs w:val="24"/>
              </w:rPr>
              <w:t>设备更新费</w:t>
            </w:r>
            <w:r>
              <w:rPr>
                <w:rFonts w:ascii="Times New Roman" w:hAnsi="Times New Roman" w:eastAsia="宋体" w:cs="微软雅黑"/>
                <w:sz w:val="24"/>
                <w:szCs w:val="24"/>
              </w:rPr>
              <w:t>4</w:t>
            </w:r>
            <w:r>
              <w:rPr>
                <w:rFonts w:hint="eastAsia" w:ascii="Times New Roman" w:hAnsi="Times New Roman" w:eastAsia="宋体" w:cs="微软雅黑"/>
                <w:sz w:val="24"/>
                <w:szCs w:val="24"/>
              </w:rPr>
              <w:t>00万元</w:t>
            </w:r>
            <w:r>
              <w:rPr>
                <w:rFonts w:ascii="Times New Roman" w:hAnsi="Times New Roman" w:eastAsia="宋体" w:cs="微软雅黑"/>
                <w:sz w:val="24"/>
                <w:szCs w:val="24"/>
              </w:rPr>
              <w:t>；</w:t>
            </w:r>
            <w:r>
              <w:rPr>
                <w:rFonts w:hint="eastAsia" w:ascii="Times New Roman" w:hAnsi="Times New Roman" w:eastAsia="宋体" w:cs="微软雅黑"/>
                <w:sz w:val="24"/>
                <w:szCs w:val="24"/>
              </w:rPr>
              <w:t>纵向在研项目110项，合同经费7578万，2017年实际到账经费2057</w:t>
            </w:r>
            <w:r>
              <w:rPr>
                <w:rFonts w:ascii="Times New Roman" w:hAnsi="Times New Roman" w:eastAsia="宋体" w:cs="微软雅黑"/>
                <w:sz w:val="24"/>
                <w:szCs w:val="24"/>
              </w:rPr>
              <w:t>万</w:t>
            </w:r>
            <w:r>
              <w:rPr>
                <w:rFonts w:hint="eastAsia" w:ascii="Times New Roman" w:hAnsi="Times New Roman" w:eastAsia="宋体" w:cs="微软雅黑"/>
                <w:sz w:val="24"/>
                <w:szCs w:val="24"/>
              </w:rPr>
              <w:t>；横向项目在研50项，合同总经费930万，本年度到账经费326万元。</w:t>
            </w:r>
          </w:p>
          <w:p>
            <w:pPr>
              <w:adjustRightInd w:val="0"/>
              <w:snapToGrid w:val="0"/>
              <w:spacing w:line="400" w:lineRule="exact"/>
              <w:ind w:firstLine="482"/>
              <w:rPr>
                <w:rFonts w:ascii="Times New Roman" w:hAnsi="Times New Roman" w:eastAsia="宋体" w:cs="微软雅黑"/>
                <w:sz w:val="24"/>
                <w:szCs w:val="24"/>
              </w:rPr>
            </w:pPr>
            <w:r>
              <w:rPr>
                <w:rFonts w:hint="eastAsia" w:ascii="Times New Roman" w:hAnsi="Times New Roman" w:eastAsia="宋体" w:cs="微软雅黑"/>
                <w:sz w:val="24"/>
                <w:szCs w:val="24"/>
              </w:rPr>
              <w:t>纵向项目包括主持或承担</w:t>
            </w:r>
            <w:r>
              <w:rPr>
                <w:rFonts w:ascii="Times New Roman" w:hAnsi="Times New Roman" w:eastAsia="宋体" w:cs="微软雅黑"/>
                <w:sz w:val="24"/>
                <w:szCs w:val="24"/>
              </w:rPr>
              <w:t>973</w:t>
            </w:r>
            <w:r>
              <w:rPr>
                <w:rFonts w:hint="eastAsia" w:ascii="Times New Roman" w:hAnsi="Times New Roman" w:eastAsia="宋体" w:cs="微软雅黑"/>
                <w:sz w:val="24"/>
                <w:szCs w:val="24"/>
              </w:rPr>
              <w:t>计划项目课题3项；国家重大科技专项1项；国家重点研发计划课题1项，国家自然科学基金项目44项，其中重点项目1项，国家杰出青年基金3项，国家优秀青年基金3项；其他部委行业专项及省部级项目49项；国际合作项目4项。横向项目50</w:t>
            </w:r>
            <w:r>
              <w:rPr>
                <w:rFonts w:ascii="Times New Roman" w:hAnsi="Times New Roman" w:eastAsia="宋体" w:cs="微软雅黑"/>
                <w:sz w:val="24"/>
                <w:szCs w:val="24"/>
              </w:rPr>
              <w:t>项，</w:t>
            </w:r>
            <w:r>
              <w:rPr>
                <w:rFonts w:hint="eastAsia" w:ascii="Times New Roman" w:hAnsi="Times New Roman" w:eastAsia="宋体" w:cs="微软雅黑"/>
                <w:sz w:val="24"/>
                <w:szCs w:val="24"/>
              </w:rPr>
              <w:t>主要为技术服务与成果转化。</w:t>
            </w:r>
          </w:p>
          <w:p>
            <w:pPr>
              <w:adjustRightInd w:val="0"/>
              <w:snapToGrid w:val="0"/>
              <w:spacing w:line="400" w:lineRule="exact"/>
              <w:ind w:firstLine="420"/>
              <w:rPr>
                <w:rFonts w:ascii="Times New Roman" w:hAnsi="Times New Roman" w:eastAsia="宋体" w:cs="微软雅黑"/>
                <w:sz w:val="24"/>
                <w:szCs w:val="24"/>
              </w:rPr>
            </w:pPr>
            <w:r>
              <w:rPr>
                <w:rFonts w:hint="eastAsia" w:ascii="Times New Roman" w:hAnsi="Times New Roman" w:eastAsia="宋体" w:cs="微软雅黑"/>
                <w:sz w:val="24"/>
                <w:szCs w:val="24"/>
              </w:rPr>
              <w:t>实验室包括</w:t>
            </w:r>
            <w:r>
              <w:rPr>
                <w:rFonts w:ascii="Times New Roman" w:hAnsi="Times New Roman" w:eastAsia="宋体" w:cs="微软雅黑"/>
                <w:sz w:val="24"/>
                <w:szCs w:val="24"/>
              </w:rPr>
              <w:t>3</w:t>
            </w:r>
            <w:r>
              <w:rPr>
                <w:rFonts w:hint="eastAsia" w:ascii="Times New Roman" w:hAnsi="Times New Roman" w:eastAsia="宋体" w:cs="微软雅黑"/>
                <w:sz w:val="24"/>
                <w:szCs w:val="24"/>
              </w:rPr>
              <w:t>个主要研究方向，围绕这三个方向，积极引导扶持实验室成员围绕</w:t>
            </w:r>
            <w:r>
              <w:rPr>
                <w:rFonts w:ascii="Times New Roman" w:hAnsi="Times New Roman" w:eastAsia="宋体" w:cs="微软雅黑"/>
                <w:sz w:val="24"/>
                <w:szCs w:val="24"/>
              </w:rPr>
              <w:t>3</w:t>
            </w:r>
            <w:r>
              <w:rPr>
                <w:rFonts w:hint="eastAsia" w:ascii="Times New Roman" w:hAnsi="Times New Roman" w:eastAsia="宋体" w:cs="微软雅黑"/>
                <w:sz w:val="24"/>
                <w:szCs w:val="24"/>
              </w:rPr>
              <w:t>个主要方向开展项目的申报，科研项目特别是大项目越来越紧密地围绕重点实验室的</w:t>
            </w:r>
            <w:r>
              <w:rPr>
                <w:rFonts w:ascii="Times New Roman" w:hAnsi="Times New Roman" w:eastAsia="宋体" w:cs="微软雅黑"/>
                <w:sz w:val="24"/>
                <w:szCs w:val="24"/>
              </w:rPr>
              <w:t>3</w:t>
            </w:r>
            <w:r>
              <w:rPr>
                <w:rFonts w:hint="eastAsia" w:ascii="Times New Roman" w:hAnsi="Times New Roman" w:eastAsia="宋体" w:cs="微软雅黑"/>
                <w:sz w:val="24"/>
                <w:szCs w:val="24"/>
              </w:rPr>
              <w:t>个研究方向，25项重大项目经费的比例占到60</w:t>
            </w:r>
            <w:r>
              <w:rPr>
                <w:rFonts w:ascii="Times New Roman" w:hAnsi="Times New Roman" w:eastAsia="宋体" w:cs="微软雅黑"/>
                <w:sz w:val="24"/>
                <w:szCs w:val="24"/>
              </w:rPr>
              <w:t>%</w:t>
            </w:r>
            <w:r>
              <w:rPr>
                <w:rFonts w:hint="eastAsia" w:ascii="Times New Roman" w:hAnsi="Times New Roman" w:eastAsia="宋体" w:cs="微软雅黑"/>
                <w:sz w:val="24"/>
                <w:szCs w:val="24"/>
              </w:rPr>
              <w:t>左右。在研究方向</w:t>
            </w:r>
            <w:r>
              <w:rPr>
                <w:rFonts w:ascii="Times New Roman" w:hAnsi="Times New Roman" w:eastAsia="宋体" w:cs="微软雅黑"/>
                <w:sz w:val="24"/>
                <w:szCs w:val="24"/>
              </w:rPr>
              <w:t>1</w:t>
            </w:r>
            <w:r>
              <w:rPr>
                <w:rFonts w:hint="eastAsia" w:ascii="Times New Roman" w:hAnsi="Times New Roman" w:eastAsia="宋体" w:cs="微软雅黑"/>
                <w:sz w:val="24"/>
                <w:szCs w:val="24"/>
              </w:rPr>
              <w:t>）地表环境污染过程方面，承担的重大项目主要包括国家</w:t>
            </w:r>
            <w:r>
              <w:rPr>
                <w:rFonts w:ascii="Times New Roman" w:hAnsi="Times New Roman" w:eastAsia="宋体" w:cs="微软雅黑"/>
                <w:sz w:val="24"/>
                <w:szCs w:val="24"/>
              </w:rPr>
              <w:t>973</w:t>
            </w:r>
            <w:r>
              <w:rPr>
                <w:rFonts w:hint="eastAsia" w:ascii="Times New Roman" w:hAnsi="Times New Roman" w:eastAsia="宋体" w:cs="微软雅黑"/>
                <w:sz w:val="24"/>
                <w:szCs w:val="24"/>
              </w:rPr>
              <w:t>计划项目、国家杰出青年基金、科技部国际合作项目等；在研究方向</w:t>
            </w:r>
            <w:r>
              <w:rPr>
                <w:rFonts w:ascii="Times New Roman" w:hAnsi="Times New Roman" w:eastAsia="宋体" w:cs="微软雅黑"/>
                <w:sz w:val="24"/>
                <w:szCs w:val="24"/>
              </w:rPr>
              <w:t>2</w:t>
            </w:r>
            <w:r>
              <w:rPr>
                <w:rFonts w:hint="eastAsia" w:ascii="Times New Roman" w:hAnsi="Times New Roman" w:eastAsia="宋体" w:cs="微软雅黑"/>
                <w:sz w:val="24"/>
                <w:szCs w:val="24"/>
              </w:rPr>
              <w:t>）生态毒理与环境基准方面，承担的重大项目主要包括国家杰出青年基金及自然科学基金面上项目；在研究方向</w:t>
            </w:r>
            <w:r>
              <w:rPr>
                <w:rFonts w:ascii="Times New Roman" w:hAnsi="Times New Roman" w:eastAsia="宋体" w:cs="微软雅黑"/>
                <w:sz w:val="24"/>
                <w:szCs w:val="24"/>
              </w:rPr>
              <w:t>3</w:t>
            </w:r>
            <w:r>
              <w:rPr>
                <w:rFonts w:hint="eastAsia" w:ascii="Times New Roman" w:hAnsi="Times New Roman" w:eastAsia="宋体" w:cs="微软雅黑"/>
                <w:sz w:val="24"/>
                <w:szCs w:val="24"/>
              </w:rPr>
              <w:t>）受污染环境修复术方面，承担的重大项目主要包括</w:t>
            </w:r>
            <w:r>
              <w:rPr>
                <w:rFonts w:ascii="Times New Roman" w:hAnsi="Times New Roman" w:eastAsia="宋体" w:cs="微软雅黑"/>
                <w:sz w:val="24"/>
                <w:szCs w:val="24"/>
              </w:rPr>
              <w:t>863</w:t>
            </w:r>
            <w:r>
              <w:rPr>
                <w:rFonts w:hint="eastAsia" w:ascii="Times New Roman" w:hAnsi="Times New Roman" w:eastAsia="宋体" w:cs="微软雅黑"/>
                <w:sz w:val="24"/>
                <w:szCs w:val="24"/>
              </w:rPr>
              <w:t>计划（重大）项目、国家基金重点项目等。</w:t>
            </w:r>
          </w:p>
          <w:p>
            <w:pPr>
              <w:adjustRightInd w:val="0"/>
              <w:snapToGrid w:val="0"/>
              <w:rPr>
                <w:rFonts w:ascii="Times New Roman" w:hAnsi="Times New Roman" w:eastAsia="楷体_GB2312" w:cs="Times New Roman"/>
                <w:sz w:val="24"/>
                <w:szCs w:val="24"/>
              </w:rPr>
            </w:pPr>
            <w:r>
              <w:rPr>
                <w:rFonts w:hint="eastAsia" w:ascii="Times New Roman" w:hAnsi="Times New Roman" w:eastAsia="宋体" w:cs="微软雅黑"/>
                <w:sz w:val="24"/>
                <w:szCs w:val="24"/>
              </w:rPr>
              <w:t>下面列出重要代表性项目25项：</w:t>
            </w:r>
          </w:p>
        </w:tc>
      </w:tr>
    </w:tbl>
    <w:p>
      <w:pPr>
        <w:adjustRightInd w:val="0"/>
        <w:snapToGrid w:val="0"/>
        <w:spacing w:line="360" w:lineRule="auto"/>
        <w:rPr>
          <w:rFonts w:ascii="Times New Roman" w:hAnsi="Times New Roman" w:eastAsia="楷体_GB2312" w:cs="Times New Roman"/>
          <w:sz w:val="28"/>
          <w:szCs w:val="24"/>
        </w:rPr>
      </w:pPr>
    </w:p>
    <w:p>
      <w:pPr>
        <w:adjustRightInd w:val="0"/>
        <w:snapToGrid w:val="0"/>
        <w:ind w:firstLine="560" w:firstLineChars="200"/>
        <w:rPr>
          <w:rFonts w:ascii="Times New Roman" w:hAnsi="Times New Roman" w:eastAsia="楷体_GB2312" w:cs="Times New Roman"/>
          <w:sz w:val="28"/>
          <w:szCs w:val="24"/>
        </w:rPr>
      </w:pPr>
      <w:r>
        <w:rPr>
          <w:rFonts w:ascii="Times New Roman" w:hAnsi="Times New Roman" w:eastAsia="楷体_GB2312" w:cs="Times New Roman"/>
          <w:sz w:val="28"/>
          <w:szCs w:val="24"/>
        </w:rPr>
        <w:t>请选择本年度内主要重点任务填写以下信息：</w:t>
      </w:r>
    </w:p>
    <w:p>
      <w:pPr>
        <w:adjustRightInd w:val="0"/>
        <w:snapToGrid w:val="0"/>
        <w:ind w:firstLine="560" w:firstLineChars="200"/>
        <w:rPr>
          <w:rFonts w:ascii="Times New Roman" w:hAnsi="Times New Roman" w:eastAsia="楷体_GB2312" w:cs="Times New Roman"/>
          <w:sz w:val="28"/>
          <w:szCs w:val="24"/>
        </w:rPr>
      </w:pPr>
    </w:p>
    <w:tbl>
      <w:tblPr>
        <w:tblStyle w:val="17"/>
        <w:tblW w:w="839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313"/>
        <w:gridCol w:w="1997"/>
        <w:gridCol w:w="1704"/>
        <w:gridCol w:w="990"/>
        <w:gridCol w:w="1231"/>
        <w:gridCol w:w="603"/>
        <w:gridCol w:w="720"/>
        <w:gridCol w:w="8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序号</w:t>
            </w:r>
          </w:p>
        </w:tc>
        <w:tc>
          <w:tcPr>
            <w:tcW w:w="1997"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项目/课题名称</w:t>
            </w:r>
          </w:p>
        </w:tc>
        <w:tc>
          <w:tcPr>
            <w:tcW w:w="1704"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编号</w:t>
            </w:r>
          </w:p>
        </w:tc>
        <w:tc>
          <w:tcPr>
            <w:tcW w:w="990"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负责人</w:t>
            </w:r>
          </w:p>
        </w:tc>
        <w:tc>
          <w:tcPr>
            <w:tcW w:w="1231"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起止时间</w:t>
            </w:r>
          </w:p>
        </w:tc>
        <w:tc>
          <w:tcPr>
            <w:tcW w:w="603"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经费(万元)</w:t>
            </w:r>
          </w:p>
        </w:tc>
        <w:tc>
          <w:tcPr>
            <w:tcW w:w="720" w:type="dxa"/>
            <w:vAlign w:val="top"/>
          </w:tcPr>
          <w:p>
            <w:pPr>
              <w:adjustRightInd w:val="0"/>
              <w:snapToGrid w:val="0"/>
              <w:jc w:val="center"/>
              <w:rPr>
                <w:rFonts w:ascii="宋体" w:hAnsi="宋体" w:eastAsia="宋体" w:cs="Times New Roman"/>
                <w:b/>
                <w:sz w:val="24"/>
                <w:szCs w:val="24"/>
              </w:rPr>
            </w:pPr>
            <w:r>
              <w:rPr>
                <w:rFonts w:hint="eastAsia" w:ascii="宋体" w:hAnsi="宋体" w:eastAsia="宋体" w:cs="Times New Roman"/>
                <w:b/>
                <w:sz w:val="24"/>
                <w:szCs w:val="24"/>
              </w:rPr>
              <w:t>到账经费</w:t>
            </w:r>
          </w:p>
        </w:tc>
        <w:tc>
          <w:tcPr>
            <w:tcW w:w="838"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新型持久性有机物在电子废弃物污染源及周边区域的迁移转化与修复控制</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2015CB459001</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王莹莹</w:t>
            </w:r>
          </w:p>
        </w:tc>
        <w:tc>
          <w:tcPr>
            <w:tcW w:w="1231" w:type="dxa"/>
            <w:vAlign w:val="center"/>
          </w:tcPr>
          <w:p>
            <w:pPr>
              <w:jc w:val="center"/>
              <w:rPr>
                <w:rFonts w:ascii="宋体" w:hAnsi="宋体" w:eastAsia="宋体" w:cs="宋体"/>
                <w:kern w:val="0"/>
                <w:szCs w:val="21"/>
              </w:rPr>
            </w:pPr>
            <w:r>
              <w:rPr>
                <w:rFonts w:hint="eastAsia" w:ascii="宋体" w:hAnsi="宋体" w:eastAsia="宋体"/>
                <w:color w:val="000000"/>
                <w:sz w:val="22"/>
              </w:rPr>
              <w:t>2015/01</w:t>
            </w:r>
            <w:r>
              <w:rPr>
                <w:rFonts w:hint="eastAsia" w:ascii="宋体" w:hAnsi="宋体" w:eastAsia="宋体" w:cs="宋体"/>
                <w:kern w:val="0"/>
                <w:szCs w:val="21"/>
              </w:rPr>
              <w:t>—</w:t>
            </w:r>
            <w:r>
              <w:rPr>
                <w:rFonts w:hint="eastAsia" w:ascii="宋体" w:hAnsi="宋体" w:eastAsia="宋体"/>
                <w:color w:val="000000"/>
                <w:sz w:val="22"/>
              </w:rPr>
              <w:t>2019/12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215</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120</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国家重点基础研究计划</w:t>
            </w:r>
            <w:r>
              <w:rPr>
                <w:rFonts w:ascii="宋体" w:hAnsi="宋体" w:eastAsia="宋体" w:cs="宋体"/>
                <w:kern w:val="0"/>
                <w:szCs w:val="21"/>
              </w:rPr>
              <w:t>(973计划)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人工纳米材料在环境中的迁移、转化和归趋研究</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2014CB932001</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陈威</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2016/01- 2018/08</w:t>
            </w:r>
          </w:p>
          <w:p>
            <w:pPr>
              <w:widowControl/>
              <w:spacing w:line="320" w:lineRule="exact"/>
              <w:jc w:val="center"/>
              <w:rPr>
                <w:rFonts w:ascii="宋体" w:hAnsi="宋体" w:eastAsia="宋体" w:cs="宋体"/>
                <w:kern w:val="0"/>
                <w:szCs w:val="21"/>
              </w:rPr>
            </w:pP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247</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247</w:t>
            </w:r>
          </w:p>
        </w:tc>
        <w:tc>
          <w:tcPr>
            <w:tcW w:w="838" w:type="dxa"/>
            <w:vAlign w:val="center"/>
          </w:tcPr>
          <w:p>
            <w:pPr>
              <w:widowControl/>
              <w:spacing w:line="320" w:lineRule="exact"/>
              <w:jc w:val="center"/>
              <w:rPr>
                <w:rFonts w:ascii="宋体" w:hAnsi="宋体" w:eastAsia="宋体"/>
                <w:szCs w:val="21"/>
              </w:rPr>
            </w:pPr>
            <w:r>
              <w:rPr>
                <w:rFonts w:hint="eastAsia" w:ascii="宋体" w:hAnsi="宋体" w:eastAsia="宋体" w:cs="宋体"/>
                <w:kern w:val="0"/>
                <w:szCs w:val="21"/>
              </w:rPr>
              <w:t>国家重点基础研究计划</w:t>
            </w:r>
            <w:r>
              <w:rPr>
                <w:rFonts w:ascii="宋体" w:hAnsi="宋体" w:eastAsia="宋体" w:cs="宋体"/>
                <w:kern w:val="0"/>
                <w:szCs w:val="21"/>
              </w:rPr>
              <w:t>(973计划)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土壤复合有机污染过程与生物有效性</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2014CB441104</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孙红文</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2016/01- 2018/08</w:t>
            </w:r>
          </w:p>
          <w:p>
            <w:pPr>
              <w:widowControl/>
              <w:spacing w:line="320" w:lineRule="exact"/>
              <w:jc w:val="center"/>
              <w:rPr>
                <w:rFonts w:ascii="宋体" w:hAnsi="宋体" w:eastAsia="宋体" w:cs="宋体"/>
                <w:kern w:val="0"/>
                <w:szCs w:val="21"/>
              </w:rPr>
            </w:pPr>
          </w:p>
        </w:tc>
        <w:tc>
          <w:tcPr>
            <w:tcW w:w="603"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233</w:t>
            </w:r>
          </w:p>
        </w:tc>
        <w:tc>
          <w:tcPr>
            <w:tcW w:w="720"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233</w:t>
            </w:r>
          </w:p>
        </w:tc>
        <w:tc>
          <w:tcPr>
            <w:tcW w:w="838" w:type="dxa"/>
            <w:vAlign w:val="center"/>
          </w:tcPr>
          <w:p>
            <w:pPr>
              <w:widowControl/>
              <w:spacing w:line="320" w:lineRule="exact"/>
              <w:jc w:val="center"/>
              <w:rPr>
                <w:rFonts w:ascii="宋体" w:hAnsi="宋体" w:eastAsia="宋体"/>
                <w:szCs w:val="21"/>
              </w:rPr>
            </w:pPr>
            <w:r>
              <w:rPr>
                <w:rFonts w:hint="eastAsia" w:ascii="宋体" w:hAnsi="宋体" w:eastAsia="宋体" w:cs="宋体"/>
                <w:kern w:val="0"/>
                <w:szCs w:val="21"/>
              </w:rPr>
              <w:t>国家重点基础研究计划</w:t>
            </w:r>
            <w:r>
              <w:rPr>
                <w:rFonts w:ascii="宋体" w:hAnsi="宋体" w:eastAsia="宋体" w:cs="宋体"/>
                <w:kern w:val="0"/>
                <w:szCs w:val="21"/>
              </w:rPr>
              <w:t>(973计划)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"D:\\2018年1月11日备份LENOVO-工作\\重点实验室\\2017年\\project\\project.do?actionType=view&amp;pageModeId=view&amp;bean.id=5e9eac075ad0dd16015ae9b028440267&amp;pageFrom=projectList" \t "_parent" </w:instrText>
            </w:r>
            <w:r>
              <w:fldChar w:fldCharType="separate"/>
            </w:r>
            <w:r>
              <w:rPr>
                <w:rStyle w:val="14"/>
                <w:rFonts w:hint="eastAsia" w:ascii="宋体" w:hAnsi="宋体" w:eastAsia="宋体"/>
                <w:color w:val="auto"/>
                <w:sz w:val="24"/>
                <w:szCs w:val="24"/>
                <w:u w:val="none"/>
              </w:rPr>
              <w:t>西部地区农村供排水水质智能化监测评估技术研究与示范</w:t>
            </w:r>
            <w:r>
              <w:fldChar w:fldCharType="end"/>
            </w: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Times New Roman"/>
                <w:sz w:val="24"/>
                <w:szCs w:val="24"/>
              </w:rPr>
              <w:t>2016YFC0400709</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Times New Roman"/>
                <w:sz w:val="24"/>
                <w:szCs w:val="24"/>
              </w:rPr>
              <w:t>黄津辉</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olor w:val="000000"/>
                <w:sz w:val="22"/>
              </w:rPr>
              <w:t>2017/01</w:t>
            </w:r>
            <w:r>
              <w:rPr>
                <w:rFonts w:hint="eastAsia" w:ascii="宋体" w:hAnsi="宋体" w:eastAsia="宋体" w:cs="宋体"/>
                <w:kern w:val="0"/>
                <w:szCs w:val="21"/>
              </w:rPr>
              <w:t>—</w:t>
            </w:r>
            <w:r>
              <w:rPr>
                <w:rFonts w:hint="eastAsia" w:ascii="宋体" w:hAnsi="宋体" w:eastAsia="宋体"/>
                <w:color w:val="000000"/>
                <w:sz w:val="22"/>
              </w:rPr>
              <w:t>2020/12</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Times New Roman"/>
                <w:sz w:val="24"/>
                <w:szCs w:val="24"/>
              </w:rPr>
              <w:t>260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Times New Roman"/>
                <w:sz w:val="24"/>
                <w:szCs w:val="24"/>
              </w:rPr>
              <w:t>76</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Times New Roman"/>
                <w:sz w:val="24"/>
                <w:szCs w:val="24"/>
              </w:rPr>
              <w:t>国家重点研发计划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独流减河上游示范区二级河渠污染与风险控制研究*</w:t>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2015ZX07203-011-06</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唐景春</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olor w:val="000000"/>
                <w:sz w:val="22"/>
              </w:rPr>
              <w:t>2015/01</w:t>
            </w:r>
            <w:r>
              <w:rPr>
                <w:rFonts w:hint="eastAsia" w:ascii="宋体" w:hAnsi="宋体" w:eastAsia="宋体" w:cs="宋体"/>
                <w:kern w:val="0"/>
                <w:szCs w:val="21"/>
              </w:rPr>
              <w:t>—</w:t>
            </w:r>
            <w:r>
              <w:rPr>
                <w:rFonts w:hint="eastAsia" w:ascii="宋体" w:hAnsi="宋体" w:eastAsia="宋体"/>
                <w:color w:val="000000"/>
                <w:sz w:val="22"/>
              </w:rPr>
              <w:t>2017/12</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color w:val="000000"/>
                <w:sz w:val="22"/>
              </w:rPr>
              <w:t>134</w:t>
            </w:r>
          </w:p>
          <w:p>
            <w:pPr>
              <w:adjustRightInd w:val="0"/>
              <w:snapToGrid w:val="0"/>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color w:val="000000"/>
                <w:sz w:val="22"/>
              </w:rPr>
              <w:t>134</w:t>
            </w:r>
          </w:p>
          <w:p>
            <w:pPr>
              <w:adjustRightInd w:val="0"/>
              <w:snapToGrid w:val="0"/>
              <w:jc w:val="center"/>
              <w:rPr>
                <w:rFonts w:ascii="宋体" w:hAnsi="宋体" w:eastAsia="宋体" w:cs="Times New Roman"/>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国家科技重大专项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污染生态地球化学研究</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IRT_17R58</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周启星</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2018/01—2020/12</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0</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教育部“创新团队发展计划”项目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有机污染物环境界面化学</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21425729</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陈威</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2015/01—2019/12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400</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200</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国家自然科学基金杰出青年基金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环境污染化学</w:t>
            </w:r>
          </w:p>
        </w:tc>
        <w:tc>
          <w:tcPr>
            <w:tcW w:w="1704"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21325730</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祝凌燕</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2014</w:t>
            </w:r>
            <w:r>
              <w:rPr>
                <w:rFonts w:ascii="宋体" w:hAnsi="宋体" w:eastAsia="宋体" w:cs="宋体"/>
                <w:kern w:val="0"/>
                <w:szCs w:val="21"/>
              </w:rPr>
              <w:t>/</w:t>
            </w:r>
            <w:r>
              <w:rPr>
                <w:rFonts w:hint="eastAsia" w:ascii="宋体" w:hAnsi="宋体" w:eastAsia="宋体" w:cs="宋体"/>
                <w:kern w:val="0"/>
                <w:szCs w:val="21"/>
              </w:rPr>
              <w:t>01—2017</w:t>
            </w:r>
            <w:r>
              <w:rPr>
                <w:rFonts w:ascii="宋体" w:hAnsi="宋体" w:eastAsia="宋体" w:cs="宋体"/>
                <w:kern w:val="0"/>
                <w:szCs w:val="21"/>
              </w:rPr>
              <w:t>/</w:t>
            </w:r>
            <w:r>
              <w:rPr>
                <w:rFonts w:hint="eastAsia" w:ascii="宋体" w:hAnsi="宋体" w:eastAsia="宋体" w:cs="宋体"/>
                <w:kern w:val="0"/>
                <w:szCs w:val="21"/>
              </w:rPr>
              <w:t>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320</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240</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国家自然科学基金杰出青年基金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环境地球化学</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41525013</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罗义</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w:t>
            </w:r>
            <w:r>
              <w:rPr>
                <w:rFonts w:ascii="宋体" w:hAnsi="宋体" w:eastAsia="宋体" w:cs="宋体"/>
                <w:kern w:val="0"/>
                <w:szCs w:val="21"/>
              </w:rPr>
              <w:t>/</w:t>
            </w:r>
            <w:r>
              <w:rPr>
                <w:rFonts w:hint="eastAsia" w:ascii="宋体" w:hAnsi="宋体" w:eastAsia="宋体" w:cs="宋体"/>
                <w:kern w:val="0"/>
                <w:szCs w:val="21"/>
              </w:rPr>
              <w:t>01—2020</w:t>
            </w:r>
            <w:r>
              <w:rPr>
                <w:rFonts w:ascii="宋体" w:hAnsi="宋体" w:eastAsia="宋体" w:cs="宋体"/>
                <w:kern w:val="0"/>
                <w:szCs w:val="21"/>
              </w:rPr>
              <w:t>/</w:t>
            </w:r>
            <w:r>
              <w:rPr>
                <w:rFonts w:hint="eastAsia" w:ascii="宋体" w:hAnsi="宋体" w:eastAsia="宋体" w:cs="宋体"/>
                <w:kern w:val="0"/>
                <w:szCs w:val="21"/>
              </w:rPr>
              <w:t>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400</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175</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国家自然科学基金杰出青年基金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人工纳米材料对水环境中有机污染物界面过程的影响机制研究</w:t>
            </w:r>
          </w:p>
        </w:tc>
        <w:tc>
          <w:tcPr>
            <w:tcW w:w="1704"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21237002</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陈威</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2013/01—2017/12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300</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210</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"D:\\2018年1月11日备份LENOVO-工作\\重点实验室\\2017年\\project\\project.do?actionType=view&amp;pageModeId=view&amp;bean.id=5e9eac075ea3831b015f0a40b46b07d3&amp;pageFrom=projectList" \t "_parent" </w:instrText>
            </w:r>
            <w:r>
              <w:fldChar w:fldCharType="separate"/>
            </w:r>
            <w:r>
              <w:rPr>
                <w:rStyle w:val="14"/>
                <w:rFonts w:hint="eastAsia" w:ascii="宋体" w:hAnsi="宋体" w:eastAsia="宋体" w:cs="宋体"/>
                <w:color w:val="auto"/>
                <w:kern w:val="0"/>
                <w:szCs w:val="21"/>
                <w:u w:val="none"/>
              </w:rPr>
              <w:t>污染生态化学</w:t>
            </w:r>
            <w:r>
              <w:fldChar w:fldCharType="end"/>
            </w: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21722703</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"D:\\2018年1月11日备份LENOVO-工作\\重点实验室\\2017年\\person\\person.do?actionType=view&amp;bean.id=5e9eac074274c9c3014298d7a2a72895&amp;pageFrom=otherList" \t "_parent" </w:instrText>
            </w:r>
            <w:r>
              <w:fldChar w:fldCharType="separate"/>
            </w:r>
            <w:r>
              <w:rPr>
                <w:rStyle w:val="14"/>
                <w:rFonts w:hint="eastAsia" w:ascii="宋体" w:hAnsi="宋体" w:eastAsia="宋体" w:cs="宋体"/>
                <w:color w:val="auto"/>
                <w:kern w:val="0"/>
                <w:szCs w:val="21"/>
                <w:u w:val="none"/>
              </w:rPr>
              <w:t>胡献刚</w:t>
            </w:r>
            <w:r>
              <w:fldChar w:fldCharType="end"/>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2018/01</w:t>
            </w:r>
            <w:r>
              <w:rPr>
                <w:rFonts w:hint="eastAsia" w:ascii="宋体" w:hAnsi="宋体" w:eastAsia="宋体" w:cs="宋体"/>
                <w:kern w:val="0"/>
                <w:szCs w:val="21"/>
              </w:rPr>
              <w:t>—</w:t>
            </w:r>
            <w:r>
              <w:rPr>
                <w:rFonts w:hint="eastAsia"/>
                <w:color w:val="000000"/>
                <w:sz w:val="22"/>
              </w:rPr>
              <w:t>2020/12</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155.4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78</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国家自然科学基金优秀青年基金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"D:\\2018年1月11日备份LENOVO-工作\\重点实验室\\2017年\\project\\project.do?actionType=view&amp;pageModeId=view&amp;bean.id=5e9eac075ea3831b015f0a3a7a4d07cd&amp;pageFrom=projectList" \t "_parent" </w:instrText>
            </w:r>
            <w:r>
              <w:fldChar w:fldCharType="separate"/>
            </w:r>
            <w:r>
              <w:rPr>
                <w:rStyle w:val="14"/>
                <w:rFonts w:hint="eastAsia" w:ascii="宋体" w:hAnsi="宋体" w:eastAsia="宋体" w:cs="宋体"/>
                <w:color w:val="auto"/>
                <w:kern w:val="0"/>
                <w:szCs w:val="21"/>
                <w:u w:val="none"/>
              </w:rPr>
              <w:t>环境污染控制界面化学</w:t>
            </w:r>
            <w:r>
              <w:fldChar w:fldCharType="end"/>
            </w: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21722702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"D:\\2018年1月11日备份LENOVO-工作\\重点实验室\\2017年\\person\\person.do?actionType=view&amp;bean.id=5e9eac074274c9c3014298d7a17f2808&amp;pageFrom=otherList" \t "_parent" </w:instrText>
            </w:r>
            <w:r>
              <w:fldChar w:fldCharType="separate"/>
            </w:r>
            <w:r>
              <w:rPr>
                <w:rStyle w:val="14"/>
                <w:rFonts w:hint="eastAsia" w:ascii="宋体" w:hAnsi="宋体" w:eastAsia="宋体" w:cs="宋体"/>
                <w:color w:val="auto"/>
                <w:kern w:val="0"/>
                <w:szCs w:val="21"/>
                <w:u w:val="none"/>
              </w:rPr>
              <w:t>展思辉</w:t>
            </w:r>
            <w:r>
              <w:fldChar w:fldCharType="end"/>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2018/01</w:t>
            </w:r>
            <w:r>
              <w:rPr>
                <w:rFonts w:hint="eastAsia" w:ascii="宋体" w:hAnsi="宋体" w:eastAsia="宋体" w:cs="宋体"/>
                <w:kern w:val="0"/>
                <w:szCs w:val="21"/>
              </w:rPr>
              <w:t>—</w:t>
            </w:r>
            <w:r>
              <w:rPr>
                <w:rFonts w:hint="eastAsia"/>
                <w:color w:val="000000"/>
                <w:sz w:val="22"/>
              </w:rPr>
              <w:t>2020/12</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153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78</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国家自然科学基金优秀青年基金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"D:\\2018年1月11日备份LENOVO-工作\\重点实验室\\2017年\\project\\project.do?actionType=view&amp;pageModeId=view&amp;bean.id=5e9eac075ea3831b015f0a3d4f3807d0&amp;pageFrom=projectList" \t "_parent" </w:instrText>
            </w:r>
            <w:r>
              <w:fldChar w:fldCharType="separate"/>
            </w:r>
            <w:r>
              <w:rPr>
                <w:rStyle w:val="14"/>
                <w:rFonts w:hint="eastAsia" w:ascii="宋体" w:hAnsi="宋体" w:eastAsia="宋体" w:cs="宋体"/>
                <w:color w:val="auto"/>
                <w:kern w:val="0"/>
                <w:szCs w:val="21"/>
                <w:u w:val="none"/>
              </w:rPr>
              <w:t>环境地球化学</w:t>
            </w:r>
            <w:r>
              <w:fldChar w:fldCharType="end"/>
            </w: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41722304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fldChar w:fldCharType="begin"/>
            </w:r>
            <w:r>
              <w:instrText xml:space="preserve">HYPERLINK "D:\\2018年1月11日备份LENOVO-工作\\重点实验室\\2017年\\person\\person.do?actionType=view&amp;bean.id=5e9eac074274c9c3014298d7a17f280b&amp;pageFrom=otherList" \t "_parent" </w:instrText>
            </w:r>
            <w:r>
              <w:fldChar w:fldCharType="separate"/>
            </w:r>
            <w:r>
              <w:rPr>
                <w:rStyle w:val="14"/>
                <w:rFonts w:hint="eastAsia" w:ascii="宋体" w:hAnsi="宋体" w:eastAsia="宋体" w:cs="宋体"/>
                <w:color w:val="auto"/>
                <w:kern w:val="0"/>
                <w:szCs w:val="21"/>
                <w:u w:val="none"/>
              </w:rPr>
              <w:t>汪磊</w:t>
            </w:r>
            <w:r>
              <w:fldChar w:fldCharType="end"/>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2018/01</w:t>
            </w:r>
            <w:r>
              <w:rPr>
                <w:rFonts w:hint="eastAsia" w:ascii="宋体" w:hAnsi="宋体" w:eastAsia="宋体" w:cs="宋体"/>
                <w:kern w:val="0"/>
                <w:szCs w:val="21"/>
              </w:rPr>
              <w:t>—</w:t>
            </w:r>
            <w:r>
              <w:rPr>
                <w:rFonts w:hint="eastAsia"/>
                <w:color w:val="000000"/>
                <w:sz w:val="22"/>
              </w:rPr>
              <w:t>2020/12</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156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color w:val="000000"/>
                <w:sz w:val="22"/>
              </w:rPr>
              <w:t>78</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国家自然科学基金优秀青年基金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rFonts w:ascii="宋体" w:hAnsi="宋体" w:eastAsia="宋体" w:cs="宋体"/>
                <w:color w:val="000000"/>
                <w:sz w:val="22"/>
              </w:rPr>
            </w:pPr>
            <w:r>
              <w:rPr>
                <w:rFonts w:hint="eastAsia"/>
                <w:color w:val="000000"/>
                <w:sz w:val="22"/>
              </w:rPr>
              <w:t>新型光合藻微生物燃料电池高效转化二氧化碳研究</w:t>
            </w:r>
          </w:p>
          <w:p>
            <w:pPr>
              <w:widowControl/>
              <w:spacing w:line="320" w:lineRule="exact"/>
              <w:jc w:val="center"/>
              <w:rPr>
                <w:rFonts w:ascii="宋体" w:hAnsi="宋体" w:eastAsia="宋体" w:cs="宋体"/>
                <w:kern w:val="0"/>
                <w:szCs w:val="21"/>
              </w:rPr>
            </w:pP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91545126</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周明华</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p>
            <w:pPr>
              <w:widowControl/>
              <w:spacing w:line="320" w:lineRule="exact"/>
              <w:jc w:val="center"/>
              <w:rPr>
                <w:rFonts w:ascii="宋体" w:hAnsi="宋体" w:eastAsia="宋体" w:cs="宋体"/>
                <w:kern w:val="0"/>
                <w:szCs w:val="21"/>
              </w:rPr>
            </w:pP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96</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49.2</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rFonts w:ascii="宋体" w:hAnsi="宋体" w:eastAsia="宋体" w:cs="宋体"/>
                <w:color w:val="000000"/>
                <w:sz w:val="22"/>
              </w:rPr>
            </w:pPr>
            <w:r>
              <w:rPr>
                <w:rFonts w:hint="eastAsia"/>
                <w:color w:val="000000"/>
                <w:sz w:val="22"/>
              </w:rPr>
              <w:t>短链（C2-C6）全氟羧酸及其共通前体物在大气-土壤-植物体系迁移转化</w:t>
            </w:r>
          </w:p>
          <w:p>
            <w:pPr>
              <w:jc w:val="center"/>
              <w:rPr>
                <w:color w:val="000000"/>
                <w:sz w:val="22"/>
              </w:rPr>
            </w:pPr>
          </w:p>
        </w:tc>
        <w:tc>
          <w:tcPr>
            <w:tcW w:w="1704"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41573097</w:t>
            </w:r>
          </w:p>
          <w:p>
            <w:pPr>
              <w:widowControl/>
              <w:spacing w:line="320" w:lineRule="exact"/>
              <w:jc w:val="center"/>
              <w:rPr>
                <w:rFonts w:ascii="宋体" w:hAnsi="宋体" w:eastAsia="宋体" w:cs="宋体"/>
                <w:kern w:val="0"/>
                <w:szCs w:val="21"/>
              </w:rPr>
            </w:pP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孙红文</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p>
            <w:pPr>
              <w:widowControl/>
              <w:spacing w:line="320" w:lineRule="exact"/>
              <w:jc w:val="center"/>
              <w:rPr>
                <w:rFonts w:ascii="宋体" w:hAnsi="宋体" w:eastAsia="宋体" w:cs="宋体"/>
                <w:kern w:val="0"/>
                <w:szCs w:val="21"/>
              </w:rPr>
            </w:pP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86.4</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36.5</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color w:val="000000"/>
                <w:sz w:val="22"/>
              </w:rPr>
            </w:pPr>
            <w:r>
              <w:rPr>
                <w:rFonts w:hint="eastAsia"/>
                <w:color w:val="000000"/>
                <w:sz w:val="22"/>
              </w:rPr>
              <w:t>底泥石油污染生物电化学原位生态修复及机理</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31570504</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李凤祥</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83.31</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35</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color w:val="000000"/>
                <w:sz w:val="22"/>
              </w:rPr>
            </w:pPr>
            <w:r>
              <w:rPr>
                <w:rFonts w:hint="eastAsia"/>
                <w:color w:val="000000"/>
                <w:sz w:val="22"/>
              </w:rPr>
              <w:t>多氟烷基磷酸酯（PAPs）在水生生物体中的富集与转化机制研究</w:t>
            </w:r>
          </w:p>
        </w:tc>
        <w:tc>
          <w:tcPr>
            <w:tcW w:w="1704" w:type="dxa"/>
            <w:vAlign w:val="center"/>
          </w:tcPr>
          <w:p>
            <w:pPr>
              <w:jc w:val="center"/>
              <w:rPr>
                <w:rFonts w:ascii="宋体" w:hAnsi="宋体" w:eastAsia="宋体" w:cs="宋体"/>
                <w:color w:val="000000"/>
                <w:sz w:val="22"/>
              </w:rPr>
            </w:pPr>
            <w:r>
              <w:rPr>
                <w:rFonts w:hint="eastAsia"/>
                <w:color w:val="000000"/>
                <w:sz w:val="22"/>
              </w:rPr>
              <w:t>21577067</w:t>
            </w:r>
          </w:p>
          <w:p>
            <w:pPr>
              <w:widowControl/>
              <w:spacing w:line="320" w:lineRule="exact"/>
              <w:jc w:val="center"/>
              <w:rPr>
                <w:rFonts w:ascii="宋体" w:hAnsi="宋体" w:eastAsia="宋体" w:cs="宋体"/>
                <w:kern w:val="0"/>
                <w:szCs w:val="21"/>
              </w:rPr>
            </w:pP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祝凌燕</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tc>
        <w:tc>
          <w:tcPr>
            <w:tcW w:w="603"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83.16</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35</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color w:val="000000"/>
                <w:sz w:val="22"/>
              </w:rPr>
            </w:pPr>
            <w:r>
              <w:rPr>
                <w:rFonts w:hint="eastAsia"/>
                <w:color w:val="000000"/>
                <w:sz w:val="22"/>
              </w:rPr>
              <w:t>环境因子重塑痕量氧化石墨烯诱发的生物跨代效应及其分子途径研究</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21577070</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胡献刚</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tc>
        <w:tc>
          <w:tcPr>
            <w:tcW w:w="603"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81.6</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34</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jc w:val="center"/>
              <w:rPr>
                <w:color w:val="000000"/>
                <w:sz w:val="22"/>
              </w:rPr>
            </w:pPr>
            <w:r>
              <w:rPr>
                <w:rFonts w:hint="eastAsia"/>
                <w:color w:val="000000"/>
                <w:sz w:val="22"/>
              </w:rPr>
              <w:t>生物电化学系统中混菌生物膜的形成过程与快速高效成膜方法研究</w:t>
            </w:r>
          </w:p>
        </w:tc>
        <w:tc>
          <w:tcPr>
            <w:tcW w:w="1704"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21577068</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王鑫</w:t>
            </w: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2016/01—2019/12</w:t>
            </w:r>
          </w:p>
        </w:tc>
        <w:tc>
          <w:tcPr>
            <w:tcW w:w="603" w:type="dxa"/>
            <w:vAlign w:val="center"/>
          </w:tcPr>
          <w:p>
            <w:pPr>
              <w:widowControl/>
              <w:spacing w:line="320" w:lineRule="exact"/>
              <w:jc w:val="center"/>
              <w:rPr>
                <w:rFonts w:ascii="宋体" w:hAnsi="宋体" w:eastAsia="宋体" w:cs="宋体"/>
                <w:kern w:val="0"/>
                <w:szCs w:val="21"/>
              </w:rPr>
            </w:pPr>
            <w:r>
              <w:rPr>
                <w:rFonts w:ascii="宋体" w:hAnsi="宋体" w:eastAsia="宋体" w:cs="宋体"/>
                <w:kern w:val="0"/>
                <w:szCs w:val="21"/>
              </w:rPr>
              <w:t>81</w:t>
            </w:r>
          </w:p>
        </w:tc>
        <w:tc>
          <w:tcPr>
            <w:tcW w:w="72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35</w:t>
            </w:r>
          </w:p>
        </w:tc>
        <w:tc>
          <w:tcPr>
            <w:tcW w:w="838"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典型重金属污染水环境抗生素耐药基因的时空分布及水平转移扩散分子机制</w:t>
            </w:r>
          </w:p>
        </w:tc>
        <w:tc>
          <w:tcPr>
            <w:tcW w:w="170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41473085</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罗义</w:t>
            </w:r>
          </w:p>
          <w:p>
            <w:pPr>
              <w:widowControl/>
              <w:spacing w:line="320" w:lineRule="exact"/>
              <w:jc w:val="center"/>
              <w:rPr>
                <w:rFonts w:ascii="宋体" w:hAnsi="宋体" w:eastAsia="宋体" w:cs="宋体"/>
                <w:kern w:val="0"/>
                <w:szCs w:val="21"/>
              </w:rPr>
            </w:pP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olor w:val="000000"/>
                <w:sz w:val="22"/>
              </w:rPr>
              <w:t>2015/0</w:t>
            </w:r>
            <w:r>
              <w:rPr>
                <w:rFonts w:hint="eastAsia" w:ascii="宋体" w:hAnsi="宋体" w:eastAsia="宋体" w:cs="宋体"/>
                <w:kern w:val="0"/>
                <w:szCs w:val="21"/>
              </w:rPr>
              <w:t>—</w:t>
            </w:r>
            <w:r>
              <w:rPr>
                <w:rFonts w:hint="eastAsia" w:ascii="宋体" w:hAnsi="宋体" w:eastAsia="宋体"/>
                <w:color w:val="000000"/>
                <w:sz w:val="22"/>
              </w:rPr>
              <w:t>2018/12</w:t>
            </w:r>
          </w:p>
        </w:tc>
        <w:tc>
          <w:tcPr>
            <w:tcW w:w="603" w:type="dxa"/>
            <w:vAlign w:val="center"/>
          </w:tcPr>
          <w:p>
            <w:pPr>
              <w:jc w:val="right"/>
              <w:rPr>
                <w:rFonts w:ascii="宋体" w:hAnsi="宋体" w:eastAsia="宋体" w:cs="宋体"/>
                <w:color w:val="000000"/>
                <w:sz w:val="22"/>
              </w:rPr>
            </w:pPr>
            <w:r>
              <w:rPr>
                <w:rFonts w:hint="eastAsia" w:ascii="宋体" w:hAnsi="宋体" w:eastAsia="宋体"/>
                <w:color w:val="000000"/>
                <w:sz w:val="22"/>
              </w:rPr>
              <w:t>90</w:t>
            </w:r>
          </w:p>
          <w:p>
            <w:pPr>
              <w:jc w:val="right"/>
              <w:rPr>
                <w:rFonts w:ascii="宋体" w:hAnsi="宋体" w:eastAsia="宋体" w:cs="宋体"/>
                <w:color w:val="000000"/>
                <w:sz w:val="22"/>
              </w:rPr>
            </w:pPr>
          </w:p>
        </w:tc>
        <w:tc>
          <w:tcPr>
            <w:tcW w:w="720" w:type="dxa"/>
            <w:vAlign w:val="center"/>
          </w:tcPr>
          <w:p>
            <w:pPr>
              <w:jc w:val="right"/>
              <w:rPr>
                <w:rFonts w:ascii="宋体" w:hAnsi="宋体" w:eastAsia="宋体" w:cs="宋体"/>
                <w:color w:val="000000"/>
                <w:sz w:val="22"/>
              </w:rPr>
            </w:pPr>
            <w:r>
              <w:rPr>
                <w:rFonts w:hint="eastAsia" w:ascii="宋体" w:hAnsi="宋体" w:eastAsia="宋体"/>
                <w:color w:val="000000"/>
                <w:sz w:val="22"/>
              </w:rPr>
              <w:t>40.5</w:t>
            </w:r>
          </w:p>
        </w:tc>
        <w:tc>
          <w:tcPr>
            <w:tcW w:w="838" w:type="dxa"/>
            <w:vAlign w:val="center"/>
          </w:tcPr>
          <w:p>
            <w:pPr>
              <w:rPr>
                <w:rFonts w:ascii="宋体" w:hAnsi="宋体" w:eastAsia="宋体" w:cs="宋体"/>
                <w:color w:val="000000"/>
                <w:sz w:val="22"/>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地肤修复盐碱土镉污染的潜力及其根际和体内微界面过程</w:t>
            </w:r>
          </w:p>
        </w:tc>
        <w:tc>
          <w:tcPr>
            <w:tcW w:w="1704" w:type="dxa"/>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41471411</w:t>
            </w:r>
          </w:p>
        </w:tc>
        <w:tc>
          <w:tcPr>
            <w:tcW w:w="990" w:type="dxa"/>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刘维涛</w:t>
            </w:r>
          </w:p>
          <w:p>
            <w:pPr>
              <w:widowControl/>
              <w:spacing w:line="320" w:lineRule="exact"/>
              <w:jc w:val="center"/>
              <w:rPr>
                <w:rFonts w:ascii="宋体" w:hAnsi="宋体" w:eastAsia="宋体" w:cs="宋体"/>
                <w:kern w:val="0"/>
                <w:szCs w:val="21"/>
              </w:rPr>
            </w:pPr>
          </w:p>
        </w:tc>
        <w:tc>
          <w:tcPr>
            <w:tcW w:w="1231" w:type="dxa"/>
            <w:vAlign w:val="center"/>
          </w:tcPr>
          <w:p>
            <w:pPr>
              <w:widowControl/>
              <w:spacing w:line="320" w:lineRule="exact"/>
              <w:jc w:val="center"/>
              <w:rPr>
                <w:rFonts w:ascii="宋体" w:hAnsi="宋体" w:eastAsia="宋体" w:cs="宋体"/>
                <w:kern w:val="0"/>
                <w:szCs w:val="21"/>
              </w:rPr>
            </w:pPr>
            <w:r>
              <w:rPr>
                <w:rFonts w:hint="eastAsia" w:ascii="宋体" w:hAnsi="宋体" w:eastAsia="宋体"/>
                <w:color w:val="000000"/>
                <w:sz w:val="22"/>
              </w:rPr>
              <w:t>2015/0</w:t>
            </w:r>
            <w:r>
              <w:rPr>
                <w:rFonts w:hint="eastAsia" w:ascii="宋体" w:hAnsi="宋体" w:eastAsia="宋体" w:cs="宋体"/>
                <w:kern w:val="0"/>
                <w:szCs w:val="21"/>
              </w:rPr>
              <w:t>—</w:t>
            </w:r>
            <w:r>
              <w:rPr>
                <w:rFonts w:hint="eastAsia" w:ascii="宋体" w:hAnsi="宋体" w:eastAsia="宋体"/>
                <w:color w:val="000000"/>
                <w:sz w:val="22"/>
              </w:rPr>
              <w:t>2018/12</w:t>
            </w:r>
          </w:p>
        </w:tc>
        <w:tc>
          <w:tcPr>
            <w:tcW w:w="603" w:type="dxa"/>
            <w:vAlign w:val="center"/>
          </w:tcPr>
          <w:p>
            <w:pPr>
              <w:jc w:val="right"/>
              <w:rPr>
                <w:rFonts w:ascii="宋体" w:hAnsi="宋体" w:eastAsia="宋体" w:cs="宋体"/>
                <w:color w:val="000000"/>
                <w:sz w:val="22"/>
              </w:rPr>
            </w:pPr>
            <w:r>
              <w:rPr>
                <w:rFonts w:hint="eastAsia" w:ascii="宋体" w:hAnsi="宋体" w:eastAsia="宋体"/>
                <w:color w:val="000000"/>
                <w:sz w:val="22"/>
              </w:rPr>
              <w:t>85</w:t>
            </w:r>
          </w:p>
          <w:p>
            <w:pPr>
              <w:jc w:val="right"/>
              <w:rPr>
                <w:rFonts w:ascii="宋体" w:hAnsi="宋体" w:eastAsia="宋体" w:cs="宋体"/>
                <w:color w:val="000000"/>
                <w:sz w:val="22"/>
              </w:rPr>
            </w:pPr>
          </w:p>
        </w:tc>
        <w:tc>
          <w:tcPr>
            <w:tcW w:w="720" w:type="dxa"/>
            <w:vAlign w:val="center"/>
          </w:tcPr>
          <w:p>
            <w:pPr>
              <w:jc w:val="right"/>
              <w:rPr>
                <w:rFonts w:ascii="宋体" w:hAnsi="宋体" w:eastAsia="宋体" w:cs="宋体"/>
                <w:color w:val="000000"/>
                <w:sz w:val="22"/>
              </w:rPr>
            </w:pPr>
            <w:r>
              <w:rPr>
                <w:rFonts w:hint="eastAsia" w:ascii="宋体" w:hAnsi="宋体" w:eastAsia="宋体"/>
                <w:color w:val="000000"/>
                <w:sz w:val="22"/>
              </w:rPr>
              <w:t>38.25</w:t>
            </w:r>
          </w:p>
        </w:tc>
        <w:tc>
          <w:tcPr>
            <w:tcW w:w="838" w:type="dxa"/>
            <w:vAlign w:val="center"/>
          </w:tcPr>
          <w:p>
            <w:pPr>
              <w:rPr>
                <w:rFonts w:ascii="宋体" w:hAnsi="宋体" w:eastAsia="宋体" w:cs="宋体"/>
                <w:color w:val="000000"/>
                <w:sz w:val="22"/>
              </w:rPr>
            </w:pPr>
            <w:r>
              <w:rPr>
                <w:rFonts w:hint="eastAsia" w:ascii="宋体" w:hAnsi="宋体" w:eastAsia="宋体" w:cs="宋体"/>
                <w:kern w:val="0"/>
                <w:szCs w:val="21"/>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土壤中典型石油烃降解基因的地理分异性及环境响应机制</w:t>
            </w:r>
          </w:p>
        </w:tc>
        <w:tc>
          <w:tcPr>
            <w:tcW w:w="1704"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41473070</w:t>
            </w:r>
          </w:p>
        </w:tc>
        <w:tc>
          <w:tcPr>
            <w:tcW w:w="99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唐景春</w:t>
            </w:r>
          </w:p>
          <w:p>
            <w:pPr>
              <w:adjustRightInd w:val="0"/>
              <w:snapToGrid w:val="0"/>
              <w:jc w:val="center"/>
              <w:rPr>
                <w:rFonts w:ascii="宋体" w:hAnsi="宋体" w:eastAsia="宋体" w:cs="Times New Roman"/>
                <w:sz w:val="24"/>
                <w:szCs w:val="24"/>
              </w:rPr>
            </w:pPr>
          </w:p>
        </w:tc>
        <w:tc>
          <w:tcPr>
            <w:tcW w:w="1231"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2015/0—2018/12</w:t>
            </w:r>
          </w:p>
        </w:tc>
        <w:tc>
          <w:tcPr>
            <w:tcW w:w="603"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90</w:t>
            </w:r>
          </w:p>
          <w:p>
            <w:pPr>
              <w:adjustRightInd w:val="0"/>
              <w:snapToGrid w:val="0"/>
              <w:jc w:val="center"/>
              <w:rPr>
                <w:rFonts w:ascii="宋体" w:hAnsi="宋体" w:eastAsia="宋体" w:cs="Times New Roman"/>
                <w:sz w:val="24"/>
                <w:szCs w:val="24"/>
              </w:rPr>
            </w:pPr>
          </w:p>
        </w:tc>
        <w:tc>
          <w:tcPr>
            <w:tcW w:w="72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40.5</w:t>
            </w:r>
          </w:p>
        </w:tc>
        <w:tc>
          <w:tcPr>
            <w:tcW w:w="838"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海洋微生物功能菌群、藻类与营养盐生态耦合动力学机制研究</w:t>
            </w:r>
          </w:p>
        </w:tc>
        <w:tc>
          <w:tcPr>
            <w:tcW w:w="1704"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31470536</w:t>
            </w:r>
          </w:p>
        </w:tc>
        <w:tc>
          <w:tcPr>
            <w:tcW w:w="99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朱琳</w:t>
            </w:r>
          </w:p>
        </w:tc>
        <w:tc>
          <w:tcPr>
            <w:tcW w:w="1231"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2015/01—2018/12</w:t>
            </w:r>
          </w:p>
        </w:tc>
        <w:tc>
          <w:tcPr>
            <w:tcW w:w="603"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80</w:t>
            </w:r>
          </w:p>
          <w:p>
            <w:pPr>
              <w:adjustRightInd w:val="0"/>
              <w:snapToGrid w:val="0"/>
              <w:jc w:val="center"/>
              <w:rPr>
                <w:rFonts w:ascii="宋体" w:hAnsi="宋体" w:eastAsia="宋体" w:cs="Times New Roman"/>
                <w:sz w:val="24"/>
                <w:szCs w:val="24"/>
              </w:rPr>
            </w:pPr>
          </w:p>
        </w:tc>
        <w:tc>
          <w:tcPr>
            <w:tcW w:w="72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36</w:t>
            </w:r>
          </w:p>
        </w:tc>
        <w:tc>
          <w:tcPr>
            <w:tcW w:w="838"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国家自然科学基金面上项目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小花碱茅对高盐和干旱联合胁迫下硼污染土壤的修复及调控机理研究</w:t>
            </w:r>
          </w:p>
        </w:tc>
        <w:tc>
          <w:tcPr>
            <w:tcW w:w="1704"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31370519</w:t>
            </w:r>
          </w:p>
        </w:tc>
        <w:tc>
          <w:tcPr>
            <w:tcW w:w="99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刘春光</w:t>
            </w:r>
          </w:p>
        </w:tc>
        <w:tc>
          <w:tcPr>
            <w:tcW w:w="1231"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2014/01-2017/12</w:t>
            </w:r>
          </w:p>
        </w:tc>
        <w:tc>
          <w:tcPr>
            <w:tcW w:w="603"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80</w:t>
            </w:r>
          </w:p>
        </w:tc>
        <w:tc>
          <w:tcPr>
            <w:tcW w:w="720"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64</w:t>
            </w:r>
          </w:p>
        </w:tc>
        <w:tc>
          <w:tcPr>
            <w:tcW w:w="838"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jc w:val="center"/>
        </w:trPr>
        <w:tc>
          <w:tcPr>
            <w:tcW w:w="313" w:type="dxa"/>
            <w:vAlign w:val="center"/>
          </w:tcPr>
          <w:p>
            <w:pPr>
              <w:pStyle w:val="19"/>
              <w:numPr>
                <w:ilvl w:val="0"/>
                <w:numId w:val="1"/>
              </w:numPr>
              <w:adjustRightInd w:val="0"/>
              <w:snapToGrid w:val="0"/>
              <w:ind w:firstLineChars="0"/>
              <w:jc w:val="center"/>
              <w:rPr>
                <w:rFonts w:ascii="宋体" w:hAnsi="宋体" w:eastAsia="宋体" w:cs="Times New Roman"/>
                <w:sz w:val="24"/>
                <w:szCs w:val="24"/>
              </w:rPr>
            </w:pPr>
          </w:p>
        </w:tc>
        <w:tc>
          <w:tcPr>
            <w:tcW w:w="19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fldChar w:fldCharType="begin"/>
            </w:r>
            <w:r>
              <w:instrText xml:space="preserve">HYPERLINK "D:\\2018年1月11日备份LENOVO-工作\\重点实验室\\2017年\\project\\project.do?actionType=view&amp;pageModeId=view&amp;bean.id=5e9eac0760589709016072eb926b2ed8&amp;pageFrom=projectList" \t "_parent" </w:instrText>
            </w:r>
            <w:r>
              <w:fldChar w:fldCharType="separate"/>
            </w:r>
            <w:r>
              <w:rPr>
                <w:rStyle w:val="14"/>
                <w:rFonts w:hint="eastAsia" w:ascii="宋体" w:hAnsi="宋体" w:eastAsia="宋体"/>
                <w:color w:val="auto"/>
                <w:sz w:val="24"/>
                <w:szCs w:val="24"/>
                <w:u w:val="none"/>
              </w:rPr>
              <w:t>天津市污染土壤调查与新型修复材料公共服务平台</w:t>
            </w:r>
            <w:r>
              <w:fldChar w:fldCharType="end"/>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17PTGCCX00240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唐景春</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olor w:val="000000"/>
                <w:sz w:val="22"/>
              </w:rPr>
              <w:t>2017/10</w:t>
            </w:r>
            <w:r>
              <w:rPr>
                <w:rFonts w:hint="eastAsia" w:ascii="宋体" w:hAnsi="宋体" w:eastAsia="宋体" w:cs="宋体"/>
                <w:kern w:val="0"/>
                <w:szCs w:val="21"/>
              </w:rPr>
              <w:t>—</w:t>
            </w:r>
            <w:r>
              <w:rPr>
                <w:rFonts w:hint="eastAsia" w:ascii="宋体" w:hAnsi="宋体" w:eastAsia="宋体"/>
                <w:color w:val="000000"/>
                <w:sz w:val="22"/>
              </w:rPr>
              <w:t>2019/09</w:t>
            </w:r>
          </w:p>
        </w:tc>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80</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天津市科技创新体系及条件平台建设计划</w:t>
            </w:r>
          </w:p>
        </w:tc>
      </w:tr>
    </w:tbl>
    <w:p>
      <w:pPr>
        <w:adjustRightInd w:val="0"/>
        <w:snapToGrid w:val="0"/>
        <w:ind w:firstLine="560" w:firstLineChars="200"/>
        <w:rPr>
          <w:rFonts w:ascii="Times New Roman" w:hAnsi="Times New Roman" w:eastAsia="楷体_GB2312" w:cs="Times New Roman"/>
          <w:sz w:val="28"/>
          <w:szCs w:val="24"/>
        </w:rPr>
      </w:pPr>
    </w:p>
    <w:p>
      <w:pPr>
        <w:adjustRightInd w:val="0"/>
        <w:snapToGrid w:val="0"/>
        <w:spacing w:line="240" w:lineRule="exact"/>
        <w:ind w:firstLine="420" w:firstLineChars="200"/>
        <w:rPr>
          <w:rFonts w:ascii="Times New Roman" w:hAnsi="Times New Roman" w:eastAsia="楷体_GB2312" w:cs="Times New Roman"/>
          <w:szCs w:val="24"/>
        </w:rPr>
      </w:pPr>
      <w:r>
        <w:rPr>
          <w:rFonts w:ascii="Times New Roman" w:hAnsi="Times New Roman" w:eastAsia="楷体_GB2312" w:cs="Times New Roman"/>
          <w:szCs w:val="24"/>
        </w:rPr>
        <w:t>注：请依次以国家重大科技专项、“973”计划（973）、“863”计划（863）、国家自然科学基金（面上、重点和重大、创新研究群体计划、杰出青年基金、重大科研计划）、国家科技（攻关）、国防重大、国际合作、省部重大科技计划、重大横向合作等为序填写，并在类别栏中注明。只统计项目/课题负责人是实验室人员的任务信息。只填写所牵头负责的项目或课题。</w:t>
      </w:r>
      <w:r>
        <w:rPr>
          <w:rFonts w:ascii="Times New Roman" w:hAnsi="Times New Roman" w:eastAsia="黑体" w:cs="Times New Roman"/>
          <w:b/>
          <w:szCs w:val="24"/>
        </w:rPr>
        <w:t>若该项目或课题为某项目的子课题或子任务，请在名称后加*号标注。</w:t>
      </w:r>
    </w:p>
    <w:p>
      <w:pPr>
        <w:adjustRightInd w:val="0"/>
        <w:snapToGrid w:val="0"/>
        <w:ind w:firstLine="643" w:firstLineChars="200"/>
        <w:rPr>
          <w:rFonts w:ascii="Times New Roman" w:hAnsi="Times New Roman" w:eastAsia="黑体" w:cs="Times New Roman"/>
          <w:b/>
          <w:sz w:val="32"/>
          <w:szCs w:val="24"/>
        </w:rPr>
      </w:pPr>
      <w:r>
        <w:rPr>
          <w:rFonts w:ascii="Times New Roman" w:hAnsi="Times New Roman" w:eastAsia="黑体" w:cs="Times New Roman"/>
          <w:b/>
          <w:sz w:val="32"/>
          <w:szCs w:val="24"/>
        </w:rPr>
        <w:t>三、研究队伍建设</w:t>
      </w:r>
    </w:p>
    <w:p>
      <w:pPr>
        <w:adjustRightInd w:val="0"/>
        <w:snapToGrid w:val="0"/>
        <w:ind w:firstLine="562" w:firstLineChars="200"/>
        <w:rPr>
          <w:rFonts w:ascii="Times New Roman" w:hAnsi="Times New Roman" w:eastAsia="黑体" w:cs="Times New Roman"/>
          <w:b/>
          <w:sz w:val="28"/>
          <w:szCs w:val="28"/>
        </w:rPr>
      </w:pPr>
      <w:r>
        <w:rPr>
          <w:rFonts w:ascii="Times New Roman" w:hAnsi="Times New Roman" w:eastAsia="黑体" w:cs="Times New Roman"/>
          <w:b/>
          <w:sz w:val="28"/>
          <w:szCs w:val="28"/>
        </w:rPr>
        <w:t>1、各研究方向及研究队伍</w:t>
      </w:r>
      <w:r>
        <w:rPr>
          <w:rFonts w:hint="eastAsia" w:ascii="Times New Roman" w:hAnsi="Times New Roman" w:eastAsia="黑体" w:cs="Times New Roman"/>
          <w:b/>
          <w:sz w:val="28"/>
          <w:szCs w:val="28"/>
        </w:rPr>
        <w:t>（已定）</w:t>
      </w:r>
    </w:p>
    <w:p>
      <w:pPr>
        <w:adjustRightInd w:val="0"/>
        <w:snapToGrid w:val="0"/>
        <w:ind w:firstLine="562" w:firstLineChars="200"/>
        <w:rPr>
          <w:rFonts w:ascii="Times New Roman" w:hAnsi="Times New Roman" w:eastAsia="黑体" w:cs="Times New Roman"/>
          <w:b/>
          <w:sz w:val="28"/>
          <w:szCs w:val="28"/>
        </w:rPr>
      </w:pP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931"/>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5" w:type="dxa"/>
            <w:vAlign w:val="center"/>
          </w:tcPr>
          <w:p>
            <w:pPr>
              <w:adjustRightInd w:val="0"/>
              <w:snapToGrid w:val="0"/>
              <w:jc w:val="center"/>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研究方向</w:t>
            </w:r>
          </w:p>
        </w:tc>
        <w:tc>
          <w:tcPr>
            <w:tcW w:w="1931" w:type="dxa"/>
            <w:vAlign w:val="center"/>
          </w:tcPr>
          <w:p>
            <w:pPr>
              <w:adjustRightInd w:val="0"/>
              <w:snapToGrid w:val="0"/>
              <w:jc w:val="center"/>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学术带头人</w:t>
            </w:r>
          </w:p>
        </w:tc>
        <w:tc>
          <w:tcPr>
            <w:tcW w:w="4196" w:type="dxa"/>
            <w:vAlign w:val="center"/>
          </w:tcPr>
          <w:p>
            <w:pPr>
              <w:adjustRightInd w:val="0"/>
              <w:snapToGrid w:val="0"/>
              <w:jc w:val="center"/>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主要骨干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5" w:type="dxa"/>
            <w:vAlign w:val="center"/>
          </w:tcPr>
          <w:p>
            <w:pPr>
              <w:rPr>
                <w:rFonts w:ascii="宋体" w:hAnsi="宋体" w:eastAsia="宋体" w:cs="宋体"/>
                <w:color w:val="000000"/>
                <w:kern w:val="0"/>
                <w:sz w:val="24"/>
                <w:szCs w:val="20"/>
              </w:rPr>
            </w:pPr>
            <w:r>
              <w:rPr>
                <w:rFonts w:ascii="宋体" w:hAnsi="宋体" w:eastAsia="宋体" w:cs="Times New Roman"/>
                <w:kern w:val="0"/>
                <w:sz w:val="24"/>
                <w:szCs w:val="28"/>
              </w:rPr>
              <w:t>1</w:t>
            </w:r>
            <w:r>
              <w:rPr>
                <w:rFonts w:hint="eastAsia" w:ascii="宋体" w:hAnsi="宋体" w:eastAsia="宋体" w:cs="宋体"/>
                <w:color w:val="000000"/>
                <w:kern w:val="0"/>
                <w:sz w:val="24"/>
                <w:szCs w:val="20"/>
              </w:rPr>
              <w:t>环境污染过程</w:t>
            </w:r>
          </w:p>
        </w:tc>
        <w:tc>
          <w:tcPr>
            <w:tcW w:w="1931" w:type="dxa"/>
            <w:vAlign w:val="center"/>
          </w:tcPr>
          <w:p>
            <w:pPr>
              <w:adjustRightInd w:val="0"/>
              <w:snapToGrid w:val="0"/>
              <w:jc w:val="center"/>
              <w:rPr>
                <w:rFonts w:ascii="宋体" w:hAnsi="宋体" w:eastAsia="宋体" w:cs="Times New Roman"/>
                <w:kern w:val="0"/>
                <w:sz w:val="24"/>
                <w:szCs w:val="28"/>
              </w:rPr>
            </w:pPr>
            <w:r>
              <w:rPr>
                <w:rFonts w:hint="eastAsia" w:ascii="宋体" w:hAnsi="宋体" w:eastAsia="宋体" w:cs="宋体"/>
                <w:color w:val="000000"/>
                <w:kern w:val="0"/>
                <w:sz w:val="24"/>
                <w:szCs w:val="20"/>
              </w:rPr>
              <w:t>孙红文、祝凌燕</w:t>
            </w:r>
          </w:p>
        </w:tc>
        <w:tc>
          <w:tcPr>
            <w:tcW w:w="4196" w:type="dxa"/>
            <w:vAlign w:val="center"/>
          </w:tcPr>
          <w:p>
            <w:pPr>
              <w:adjustRightInd w:val="0"/>
              <w:snapToGrid w:val="0"/>
              <w:jc w:val="center"/>
              <w:rPr>
                <w:rFonts w:ascii="宋体" w:hAnsi="宋体" w:eastAsia="宋体" w:cs="Times New Roman"/>
                <w:kern w:val="0"/>
                <w:sz w:val="24"/>
                <w:szCs w:val="28"/>
              </w:rPr>
            </w:pPr>
            <w:r>
              <w:rPr>
                <w:rFonts w:hint="eastAsia" w:ascii="宋体" w:hAnsi="宋体" w:eastAsia="宋体" w:cs="宋体"/>
                <w:color w:val="000000"/>
                <w:kern w:val="0"/>
                <w:sz w:val="24"/>
                <w:szCs w:val="20"/>
              </w:rPr>
              <w:t>黄岁樑、张承东、王翠苹、汪磊、易立新、</w:t>
            </w:r>
            <w:r>
              <w:rPr>
                <w:rFonts w:hint="eastAsia" w:ascii="宋体" w:hAnsi="宋体" w:eastAsia="宋体" w:cs="Times New Roman"/>
                <w:kern w:val="0"/>
                <w:sz w:val="24"/>
                <w:szCs w:val="20"/>
              </w:rPr>
              <w:t>李尧、冯剑丰、刘春光、单国强、段林、赵祯、姚义鸣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5" w:type="dxa"/>
            <w:vAlign w:val="center"/>
          </w:tcPr>
          <w:p>
            <w:pPr>
              <w:rPr>
                <w:rFonts w:ascii="宋体" w:hAnsi="宋体" w:eastAsia="宋体" w:cs="宋体"/>
                <w:color w:val="000000"/>
                <w:kern w:val="0"/>
                <w:sz w:val="24"/>
                <w:szCs w:val="20"/>
              </w:rPr>
            </w:pPr>
            <w:r>
              <w:rPr>
                <w:rFonts w:ascii="宋体" w:hAnsi="宋体" w:eastAsia="宋体" w:cs="Times New Roman"/>
                <w:kern w:val="0"/>
                <w:sz w:val="24"/>
                <w:szCs w:val="28"/>
              </w:rPr>
              <w:t>2</w:t>
            </w:r>
            <w:r>
              <w:rPr>
                <w:rFonts w:hint="eastAsia" w:ascii="宋体" w:hAnsi="宋体" w:eastAsia="宋体" w:cs="宋体"/>
                <w:color w:val="000000"/>
                <w:kern w:val="0"/>
                <w:sz w:val="24"/>
                <w:szCs w:val="20"/>
              </w:rPr>
              <w:t>生态毒理与环境基准</w:t>
            </w:r>
          </w:p>
          <w:p>
            <w:pPr>
              <w:adjustRightInd w:val="0"/>
              <w:snapToGrid w:val="0"/>
              <w:rPr>
                <w:rFonts w:ascii="宋体" w:hAnsi="宋体" w:eastAsia="宋体" w:cs="Times New Roman"/>
                <w:kern w:val="0"/>
                <w:sz w:val="24"/>
                <w:szCs w:val="28"/>
              </w:rPr>
            </w:pPr>
          </w:p>
        </w:tc>
        <w:tc>
          <w:tcPr>
            <w:tcW w:w="1931" w:type="dxa"/>
            <w:vAlign w:val="center"/>
          </w:tcPr>
          <w:p>
            <w:pPr>
              <w:adjustRightInd w:val="0"/>
              <w:snapToGrid w:val="0"/>
              <w:jc w:val="center"/>
              <w:rPr>
                <w:rFonts w:ascii="宋体" w:hAnsi="宋体" w:eastAsia="宋体" w:cs="Times New Roman"/>
                <w:kern w:val="0"/>
                <w:sz w:val="24"/>
                <w:szCs w:val="28"/>
              </w:rPr>
            </w:pPr>
            <w:r>
              <w:rPr>
                <w:rFonts w:hint="eastAsia" w:ascii="宋体" w:hAnsi="宋体" w:eastAsia="宋体" w:cs="宋体"/>
                <w:color w:val="000000"/>
                <w:kern w:val="0"/>
                <w:sz w:val="24"/>
                <w:szCs w:val="20"/>
              </w:rPr>
              <w:t>周启星、罗义</w:t>
            </w:r>
          </w:p>
        </w:tc>
        <w:tc>
          <w:tcPr>
            <w:tcW w:w="4196" w:type="dxa"/>
            <w:vAlign w:val="center"/>
          </w:tcPr>
          <w:p>
            <w:pPr>
              <w:rPr>
                <w:rFonts w:ascii="宋体" w:hAnsi="宋体" w:eastAsia="宋体" w:cs="Times New Roman"/>
                <w:kern w:val="0"/>
                <w:sz w:val="24"/>
                <w:szCs w:val="20"/>
              </w:rPr>
            </w:pPr>
            <w:r>
              <w:rPr>
                <w:rFonts w:hint="eastAsia" w:ascii="宋体" w:hAnsi="宋体" w:eastAsia="宋体" w:cs="宋体"/>
                <w:color w:val="000000"/>
                <w:kern w:val="0"/>
                <w:sz w:val="24"/>
                <w:szCs w:val="20"/>
              </w:rPr>
              <w:t>朱琳、王莹莹、</w:t>
            </w:r>
            <w:r>
              <w:rPr>
                <w:rFonts w:hint="eastAsia" w:ascii="宋体" w:hAnsi="宋体" w:eastAsia="宋体" w:cs="Times New Roman"/>
                <w:kern w:val="0"/>
                <w:sz w:val="24"/>
                <w:szCs w:val="20"/>
              </w:rPr>
              <w:t>曾文炉、鲍艳宇、刘家女、刘维涛、</w:t>
            </w:r>
            <w:r>
              <w:rPr>
                <w:rFonts w:hint="eastAsia" w:ascii="宋体" w:hAnsi="宋体" w:eastAsia="宋体" w:cs="宋体"/>
                <w:color w:val="000000"/>
                <w:kern w:val="0"/>
                <w:sz w:val="24"/>
                <w:szCs w:val="20"/>
              </w:rPr>
              <w:t>胡献</w:t>
            </w:r>
            <w:r>
              <w:rPr>
                <w:rFonts w:hint="eastAsia" w:ascii="宋体" w:hAnsi="宋体" w:eastAsia="宋体" w:cs="Times New Roman"/>
                <w:kern w:val="0"/>
                <w:sz w:val="24"/>
                <w:szCs w:val="20"/>
              </w:rPr>
              <w:t>刚、张彦峰、张彤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5" w:type="dxa"/>
            <w:vAlign w:val="center"/>
          </w:tcPr>
          <w:p>
            <w:pPr>
              <w:rPr>
                <w:rFonts w:ascii="宋体" w:hAnsi="宋体" w:eastAsia="宋体" w:cs="宋体"/>
                <w:kern w:val="0"/>
                <w:sz w:val="24"/>
                <w:szCs w:val="20"/>
              </w:rPr>
            </w:pPr>
            <w:r>
              <w:rPr>
                <w:rFonts w:ascii="宋体" w:hAnsi="宋体" w:eastAsia="宋体" w:cs="Times New Roman"/>
                <w:kern w:val="0"/>
                <w:sz w:val="24"/>
                <w:szCs w:val="28"/>
              </w:rPr>
              <w:t>3</w:t>
            </w:r>
            <w:r>
              <w:rPr>
                <w:rFonts w:hint="eastAsia" w:ascii="宋体" w:hAnsi="宋体" w:eastAsia="宋体" w:cs="宋体"/>
                <w:kern w:val="0"/>
                <w:sz w:val="24"/>
                <w:szCs w:val="20"/>
              </w:rPr>
              <w:t>环境修复与应急处理</w:t>
            </w:r>
          </w:p>
        </w:tc>
        <w:tc>
          <w:tcPr>
            <w:tcW w:w="1931" w:type="dxa"/>
            <w:vAlign w:val="center"/>
          </w:tcPr>
          <w:p>
            <w:pPr>
              <w:adjustRightInd w:val="0"/>
              <w:snapToGrid w:val="0"/>
              <w:jc w:val="center"/>
              <w:rPr>
                <w:rFonts w:ascii="宋体" w:hAnsi="宋体" w:eastAsia="宋体" w:cs="Times New Roman"/>
                <w:kern w:val="0"/>
                <w:sz w:val="24"/>
                <w:szCs w:val="28"/>
              </w:rPr>
            </w:pPr>
            <w:r>
              <w:rPr>
                <w:rFonts w:ascii="宋体" w:hAnsi="宋体" w:eastAsia="宋体" w:cs="Times New Roman"/>
                <w:kern w:val="0"/>
                <w:sz w:val="24"/>
                <w:szCs w:val="28"/>
              </w:rPr>
              <w:t>陈威、唐景春</w:t>
            </w:r>
          </w:p>
        </w:tc>
        <w:tc>
          <w:tcPr>
            <w:tcW w:w="4196" w:type="dxa"/>
            <w:vAlign w:val="center"/>
          </w:tcPr>
          <w:p>
            <w:pPr>
              <w:adjustRightInd w:val="0"/>
              <w:snapToGrid w:val="0"/>
              <w:jc w:val="center"/>
              <w:rPr>
                <w:rFonts w:ascii="宋体" w:hAnsi="宋体" w:eastAsia="宋体" w:cs="Times New Roman"/>
                <w:kern w:val="0"/>
                <w:sz w:val="24"/>
                <w:szCs w:val="28"/>
              </w:rPr>
            </w:pPr>
            <w:r>
              <w:rPr>
                <w:rFonts w:hint="eastAsia" w:ascii="宋体" w:hAnsi="宋体" w:eastAsia="宋体" w:cs="宋体"/>
                <w:kern w:val="0"/>
                <w:sz w:val="24"/>
                <w:szCs w:val="20"/>
              </w:rPr>
              <w:t>周明华、刘璐、徐鹤、李洪远、高冠道、</w:t>
            </w:r>
            <w:r>
              <w:rPr>
                <w:rFonts w:hint="eastAsia" w:ascii="宋体" w:hAnsi="宋体" w:eastAsia="宋体" w:cs="Times New Roman"/>
                <w:kern w:val="0"/>
                <w:sz w:val="24"/>
                <w:szCs w:val="20"/>
              </w:rPr>
              <w:t>马小东、李铁龙、王鑫、华涛、郭晓燕、王薇、李凤祥、高广海、张寅清、宫艳艳、黄津辉、黄文力</w:t>
            </w:r>
          </w:p>
        </w:tc>
      </w:tr>
    </w:tbl>
    <w:p>
      <w:pPr>
        <w:adjustRightInd w:val="0"/>
        <w:snapToGrid w:val="0"/>
        <w:rPr>
          <w:rFonts w:ascii="Times New Roman" w:hAnsi="Times New Roman" w:eastAsia="黑体" w:cs="Times New Roman"/>
          <w:b/>
          <w:sz w:val="28"/>
          <w:szCs w:val="28"/>
        </w:rPr>
      </w:pPr>
    </w:p>
    <w:p>
      <w:pPr>
        <w:adjustRightInd w:val="0"/>
        <w:snapToGrid w:val="0"/>
        <w:ind w:firstLine="562" w:firstLineChars="200"/>
        <w:jc w:val="left"/>
        <w:rPr>
          <w:rFonts w:ascii="Times New Roman" w:hAnsi="Times New Roman" w:eastAsia="黑体" w:cs="Times New Roman"/>
          <w:b/>
          <w:sz w:val="28"/>
          <w:szCs w:val="24"/>
        </w:rPr>
      </w:pPr>
      <w:r>
        <w:rPr>
          <w:rFonts w:ascii="Times New Roman" w:hAnsi="Times New Roman" w:eastAsia="黑体" w:cs="Times New Roman"/>
          <w:b/>
          <w:sz w:val="28"/>
          <w:szCs w:val="24"/>
        </w:rPr>
        <w:t>2.本年度固定人员情况</w:t>
      </w:r>
    </w:p>
    <w:p>
      <w:pPr>
        <w:adjustRightInd w:val="0"/>
        <w:snapToGrid w:val="0"/>
        <w:ind w:firstLine="562" w:firstLineChars="200"/>
        <w:jc w:val="left"/>
        <w:rPr>
          <w:rFonts w:ascii="Times New Roman" w:hAnsi="Times New Roman" w:eastAsia="黑体" w:cs="Times New Roman"/>
          <w:b/>
          <w:sz w:val="28"/>
          <w:szCs w:val="24"/>
        </w:rPr>
      </w:pP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712"/>
        <w:gridCol w:w="1147"/>
        <w:gridCol w:w="1000"/>
        <w:gridCol w:w="621"/>
        <w:gridCol w:w="1242"/>
        <w:gridCol w:w="1003"/>
        <w:gridCol w:w="752"/>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tblHeader/>
          <w:jc w:val="center"/>
        </w:trPr>
        <w:tc>
          <w:tcPr>
            <w:tcW w:w="712"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序号</w:t>
            </w:r>
          </w:p>
        </w:tc>
        <w:tc>
          <w:tcPr>
            <w:tcW w:w="1147"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姓名</w:t>
            </w:r>
          </w:p>
        </w:tc>
        <w:tc>
          <w:tcPr>
            <w:tcW w:w="1000"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类型</w:t>
            </w:r>
          </w:p>
        </w:tc>
        <w:tc>
          <w:tcPr>
            <w:tcW w:w="621"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性别</w:t>
            </w:r>
          </w:p>
        </w:tc>
        <w:tc>
          <w:tcPr>
            <w:tcW w:w="1242"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学位</w:t>
            </w:r>
          </w:p>
        </w:tc>
        <w:tc>
          <w:tcPr>
            <w:tcW w:w="1003"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职称</w:t>
            </w:r>
          </w:p>
        </w:tc>
        <w:tc>
          <w:tcPr>
            <w:tcW w:w="752"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年龄</w:t>
            </w:r>
          </w:p>
        </w:tc>
        <w:tc>
          <w:tcPr>
            <w:tcW w:w="1825"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在实验室工作年限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周启星</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54</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孙红文</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祝凌燕</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49</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陈威</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47</w:t>
            </w:r>
          </w:p>
        </w:tc>
        <w:tc>
          <w:tcPr>
            <w:tcW w:w="1825" w:type="dxa"/>
            <w:vAlign w:val="top"/>
          </w:tcPr>
          <w:p>
            <w:pPr>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王莹莹</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37</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周明华</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宋体"/>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42</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徐鹤</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罗义</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唐景春</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49</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朱琳</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60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黄岁樑</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李洪远</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54</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刘璐</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易立新</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张承东</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41</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王翠苹</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42</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汪磊</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展思辉</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Times New Roman"/>
              </w:rPr>
              <w:t>2014年-至今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黄津辉</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49</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2015</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宋体"/>
              </w:rPr>
            </w:pPr>
            <w:r>
              <w:rPr>
                <w:rFonts w:hint="eastAsia" w:ascii="宋体" w:hAnsi="宋体" w:eastAsia="宋体" w:cs="宋体"/>
              </w:rPr>
              <w:t>张彤</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宋体"/>
              </w:rPr>
            </w:pPr>
            <w:r>
              <w:rPr>
                <w:rFonts w:ascii="宋体" w:hAnsi="宋体" w:eastAsia="宋体" w:cs="宋体"/>
              </w:rPr>
              <w:t>2015</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马小东</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45</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曾文炉</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华涛</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张彦峰</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刘春光</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郭晓燕</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42</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李铁龙</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鲍艳宇</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李尧</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2011年-</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冯剑丰</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刘家女</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刘维涛</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38</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王薇</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王鑫</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2011年-</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胡献刚</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35</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2012年-</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鲁金凤</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2012年-</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李凤祥</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42</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段林</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36</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单国强</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副教授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2009</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高广海</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2009</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张寅清</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35</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2013</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宋体"/>
              </w:rPr>
            </w:pPr>
            <w:r>
              <w:rPr>
                <w:rFonts w:hint="eastAsia" w:ascii="宋体" w:hAnsi="宋体" w:eastAsia="宋体" w:cs="宋体"/>
              </w:rPr>
              <w:t>赵祯</w:t>
            </w:r>
          </w:p>
        </w:tc>
        <w:tc>
          <w:tcPr>
            <w:tcW w:w="1000"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宋体"/>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32</w:t>
            </w:r>
          </w:p>
        </w:tc>
        <w:tc>
          <w:tcPr>
            <w:tcW w:w="1825" w:type="dxa"/>
            <w:vAlign w:val="top"/>
          </w:tcPr>
          <w:p>
            <w:pPr>
              <w:adjustRightInd w:val="0"/>
              <w:snapToGrid w:val="0"/>
              <w:spacing w:line="360" w:lineRule="exact"/>
              <w:jc w:val="center"/>
              <w:rPr>
                <w:rFonts w:ascii="宋体" w:hAnsi="宋体" w:eastAsia="宋体" w:cs="宋体"/>
              </w:rPr>
            </w:pPr>
            <w:r>
              <w:rPr>
                <w:rFonts w:ascii="宋体" w:hAnsi="宋体" w:eastAsia="宋体" w:cs="宋体"/>
              </w:rPr>
              <w:t>2015年-至今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宋体"/>
              </w:rPr>
            </w:pPr>
            <w:r>
              <w:rPr>
                <w:rFonts w:hint="eastAsia" w:ascii="宋体" w:hAnsi="宋体" w:eastAsia="宋体" w:cs="宋体"/>
              </w:rPr>
              <w:t>黄文力</w:t>
            </w:r>
          </w:p>
        </w:tc>
        <w:tc>
          <w:tcPr>
            <w:tcW w:w="1000"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宋体"/>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32</w:t>
            </w:r>
          </w:p>
        </w:tc>
        <w:tc>
          <w:tcPr>
            <w:tcW w:w="1825" w:type="dxa"/>
            <w:vAlign w:val="top"/>
          </w:tcPr>
          <w:p>
            <w:pPr>
              <w:adjustRightInd w:val="0"/>
              <w:snapToGrid w:val="0"/>
              <w:spacing w:line="360" w:lineRule="exact"/>
              <w:jc w:val="center"/>
              <w:rPr>
                <w:rFonts w:ascii="宋体" w:hAnsi="宋体" w:eastAsia="宋体" w:cs="宋体"/>
              </w:rPr>
            </w:pPr>
            <w:r>
              <w:rPr>
                <w:rFonts w:ascii="宋体" w:hAnsi="宋体" w:eastAsia="宋体" w:cs="宋体"/>
              </w:rPr>
              <w:t>2015年-至今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宋体"/>
                <w:highlight w:val="yellow"/>
              </w:rPr>
            </w:pPr>
            <w:r>
              <w:rPr>
                <w:rFonts w:hint="eastAsia" w:ascii="宋体" w:hAnsi="宋体" w:eastAsia="宋体" w:cs="宋体"/>
              </w:rPr>
              <w:t>姚义鸣</w:t>
            </w:r>
          </w:p>
        </w:tc>
        <w:tc>
          <w:tcPr>
            <w:tcW w:w="1000"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研究人员</w:t>
            </w:r>
          </w:p>
        </w:tc>
        <w:tc>
          <w:tcPr>
            <w:tcW w:w="621" w:type="dxa"/>
            <w:vAlign w:val="center"/>
          </w:tcPr>
          <w:p>
            <w:pPr>
              <w:spacing w:line="360" w:lineRule="exact"/>
              <w:jc w:val="center"/>
              <w:rPr>
                <w:rFonts w:ascii="宋体" w:hAnsi="宋体" w:eastAsia="宋体" w:cs="宋体"/>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讲师</w:t>
            </w:r>
          </w:p>
        </w:tc>
        <w:tc>
          <w:tcPr>
            <w:tcW w:w="752" w:type="dxa"/>
            <w:vAlign w:val="center"/>
          </w:tcPr>
          <w:p>
            <w:pPr>
              <w:adjustRightInd w:val="0"/>
              <w:snapToGrid w:val="0"/>
              <w:spacing w:line="360" w:lineRule="exact"/>
              <w:jc w:val="center"/>
              <w:rPr>
                <w:rFonts w:ascii="宋体" w:hAnsi="宋体" w:eastAsia="宋体" w:cs="宋体"/>
              </w:rPr>
            </w:pPr>
            <w:r>
              <w:rPr>
                <w:rFonts w:hint="eastAsia" w:ascii="宋体" w:hAnsi="宋体" w:eastAsia="宋体" w:cs="宋体"/>
              </w:rPr>
              <w:t>29</w:t>
            </w:r>
          </w:p>
        </w:tc>
        <w:tc>
          <w:tcPr>
            <w:tcW w:w="1825" w:type="dxa"/>
            <w:vAlign w:val="top"/>
          </w:tcPr>
          <w:p>
            <w:pPr>
              <w:adjustRightInd w:val="0"/>
              <w:snapToGrid w:val="0"/>
              <w:spacing w:line="360" w:lineRule="exact"/>
              <w:jc w:val="center"/>
              <w:rPr>
                <w:rFonts w:ascii="宋体" w:hAnsi="宋体" w:eastAsia="宋体" w:cs="宋体"/>
              </w:rPr>
            </w:pPr>
            <w:r>
              <w:rPr>
                <w:rFonts w:hint="eastAsia" w:ascii="宋体" w:hAnsi="宋体" w:eastAsia="宋体" w:cs="宋体"/>
              </w:rPr>
              <w:t>2016年-至今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孟凤林</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技术人员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硕士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副高</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53</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卢媛</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技术人员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硕士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实验师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34</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陈翠红</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技术人员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博士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实验师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35</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2009</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杨丽萍</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技术人员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硕士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助理实验师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30</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2011</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虞俊超</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技术人员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男</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硕士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助理实验师</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Times New Roman"/>
              </w:rPr>
              <w:t>29</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2014</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刘晓玲</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管理人员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硕士</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助理研究员</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35</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454" w:hRule="atLeast"/>
          <w:jc w:val="center"/>
        </w:trPr>
        <w:tc>
          <w:tcPr>
            <w:tcW w:w="712" w:type="dxa"/>
            <w:vAlign w:val="center"/>
          </w:tcPr>
          <w:p>
            <w:pPr>
              <w:pStyle w:val="19"/>
              <w:numPr>
                <w:ilvl w:val="0"/>
                <w:numId w:val="2"/>
              </w:numPr>
              <w:adjustRightInd w:val="0"/>
              <w:snapToGrid w:val="0"/>
              <w:ind w:firstLineChars="0"/>
              <w:jc w:val="center"/>
              <w:rPr>
                <w:rFonts w:ascii="宋体" w:hAnsi="宋体" w:eastAsia="宋体" w:cs="Times New Roman"/>
                <w:sz w:val="24"/>
                <w:szCs w:val="24"/>
              </w:rPr>
            </w:pPr>
          </w:p>
        </w:tc>
        <w:tc>
          <w:tcPr>
            <w:tcW w:w="1147" w:type="dxa"/>
            <w:vAlign w:val="center"/>
          </w:tcPr>
          <w:p>
            <w:pPr>
              <w:spacing w:line="360" w:lineRule="exact"/>
              <w:jc w:val="center"/>
              <w:rPr>
                <w:rFonts w:ascii="宋体" w:hAnsi="宋体" w:eastAsia="宋体" w:cs="Times New Roman"/>
              </w:rPr>
            </w:pPr>
            <w:r>
              <w:rPr>
                <w:rFonts w:hint="eastAsia" w:ascii="宋体" w:hAnsi="宋体" w:eastAsia="宋体" w:cs="宋体"/>
              </w:rPr>
              <w:t>许祯</w:t>
            </w:r>
          </w:p>
        </w:tc>
        <w:tc>
          <w:tcPr>
            <w:tcW w:w="1000"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管理人员</w:t>
            </w:r>
          </w:p>
        </w:tc>
        <w:tc>
          <w:tcPr>
            <w:tcW w:w="621" w:type="dxa"/>
            <w:vAlign w:val="center"/>
          </w:tcPr>
          <w:p>
            <w:pPr>
              <w:spacing w:line="360" w:lineRule="exact"/>
              <w:jc w:val="center"/>
              <w:rPr>
                <w:rFonts w:ascii="宋体" w:hAnsi="宋体" w:eastAsia="宋体" w:cs="Times New Roman"/>
              </w:rPr>
            </w:pPr>
            <w:r>
              <w:rPr>
                <w:rFonts w:hint="eastAsia" w:ascii="宋体" w:hAnsi="宋体" w:eastAsia="宋体" w:cs="宋体"/>
              </w:rPr>
              <w:t>女</w:t>
            </w:r>
          </w:p>
        </w:tc>
        <w:tc>
          <w:tcPr>
            <w:tcW w:w="1242" w:type="dxa"/>
            <w:vAlign w:val="center"/>
          </w:tcPr>
          <w:p>
            <w:pPr>
              <w:spacing w:line="360" w:lineRule="exact"/>
              <w:jc w:val="center"/>
              <w:rPr>
                <w:rFonts w:ascii="宋体" w:hAnsi="宋体" w:eastAsia="宋体" w:cs="Times New Roman"/>
              </w:rPr>
            </w:pPr>
            <w:r>
              <w:rPr>
                <w:rFonts w:hint="eastAsia" w:ascii="宋体" w:hAnsi="宋体" w:eastAsia="宋体" w:cs="宋体"/>
              </w:rPr>
              <w:t>本科</w:t>
            </w:r>
          </w:p>
        </w:tc>
        <w:tc>
          <w:tcPr>
            <w:tcW w:w="1003" w:type="dxa"/>
            <w:vAlign w:val="center"/>
          </w:tcPr>
          <w:p>
            <w:pPr>
              <w:spacing w:line="360" w:lineRule="exact"/>
              <w:jc w:val="center"/>
              <w:rPr>
                <w:rFonts w:ascii="宋体" w:hAnsi="宋体" w:eastAsia="宋体" w:cs="Times New Roman"/>
              </w:rPr>
            </w:pPr>
            <w:r>
              <w:rPr>
                <w:rFonts w:hint="eastAsia" w:ascii="宋体" w:hAnsi="宋体" w:eastAsia="宋体" w:cs="宋体"/>
              </w:rPr>
              <w:t>副高</w:t>
            </w:r>
          </w:p>
        </w:tc>
        <w:tc>
          <w:tcPr>
            <w:tcW w:w="752" w:type="dxa"/>
            <w:vAlign w:val="center"/>
          </w:tcPr>
          <w:p>
            <w:pPr>
              <w:adjustRightInd w:val="0"/>
              <w:snapToGrid w:val="0"/>
              <w:spacing w:line="360" w:lineRule="exact"/>
              <w:jc w:val="center"/>
              <w:rPr>
                <w:rFonts w:ascii="宋体" w:hAnsi="宋体" w:eastAsia="宋体" w:cs="Times New Roman"/>
              </w:rPr>
            </w:pPr>
            <w:r>
              <w:rPr>
                <w:rFonts w:hint="eastAsia" w:ascii="宋体" w:hAnsi="宋体" w:eastAsia="宋体" w:cs="宋体"/>
              </w:rPr>
              <w:t>49</w:t>
            </w:r>
          </w:p>
        </w:tc>
        <w:tc>
          <w:tcPr>
            <w:tcW w:w="1825" w:type="dxa"/>
            <w:vAlign w:val="top"/>
          </w:tcPr>
          <w:p>
            <w:pPr>
              <w:adjustRightInd w:val="0"/>
              <w:snapToGrid w:val="0"/>
              <w:spacing w:line="360" w:lineRule="exact"/>
              <w:jc w:val="center"/>
              <w:rPr>
                <w:rFonts w:ascii="宋体" w:hAnsi="宋体" w:eastAsia="宋体" w:cs="Times New Roman"/>
              </w:rPr>
            </w:pPr>
            <w:r>
              <w:rPr>
                <w:rFonts w:ascii="宋体" w:hAnsi="宋体" w:eastAsia="宋体" w:cs="宋体"/>
              </w:rPr>
              <w:t>2008</w:t>
            </w:r>
            <w:r>
              <w:rPr>
                <w:rFonts w:hint="eastAsia" w:ascii="宋体" w:hAnsi="宋体" w:eastAsia="宋体" w:cs="宋体"/>
              </w:rPr>
              <w:t>年</w:t>
            </w:r>
            <w:r>
              <w:rPr>
                <w:rFonts w:ascii="宋体" w:hAnsi="宋体" w:eastAsia="宋体" w:cs="宋体"/>
              </w:rPr>
              <w:t>-</w:t>
            </w:r>
            <w:r>
              <w:rPr>
                <w:rFonts w:hint="eastAsia" w:ascii="宋体" w:hAnsi="宋体" w:eastAsia="宋体" w:cs="宋体"/>
              </w:rPr>
              <w:t>至今</w:t>
            </w:r>
          </w:p>
        </w:tc>
      </w:tr>
    </w:tbl>
    <w:p>
      <w:pPr>
        <w:widowControl/>
        <w:adjustRightInd w:val="0"/>
        <w:snapToGrid w:val="0"/>
        <w:spacing w:line="240" w:lineRule="exact"/>
        <w:ind w:firstLine="420" w:firstLineChars="200"/>
        <w:jc w:val="left"/>
        <w:rPr>
          <w:rFonts w:ascii="宋体" w:hAnsi="宋体" w:eastAsia="宋体" w:cs="宋体"/>
        </w:rPr>
      </w:pPr>
      <w:r>
        <w:rPr>
          <w:rFonts w:ascii="宋体" w:hAnsi="宋体" w:eastAsia="宋体" w:cs="宋体"/>
        </w:rPr>
        <w:t>注：（1）固定人员包括研究人员、技术人员、管理人员三种类型，应为所在高等学校聘用的聘期2年以上的全职人员。（2）“在实验室工作年限”栏中填写实验室工作的聘期。</w:t>
      </w:r>
    </w:p>
    <w:p>
      <w:pPr>
        <w:adjustRightInd w:val="0"/>
        <w:snapToGrid w:val="0"/>
        <w:rPr>
          <w:rFonts w:ascii="Times New Roman" w:hAnsi="Times New Roman" w:eastAsia="楷体_GB2312" w:cs="Times New Roman"/>
          <w:szCs w:val="24"/>
        </w:rPr>
      </w:pPr>
    </w:p>
    <w:p>
      <w:pPr>
        <w:adjustRightInd w:val="0"/>
        <w:snapToGrid w:val="0"/>
        <w:spacing w:line="360" w:lineRule="auto"/>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3、本年度流动人员情况</w:t>
      </w:r>
      <w:r>
        <w:rPr>
          <w:rFonts w:hint="eastAsia" w:ascii="Times New Roman" w:hAnsi="Times New Roman" w:eastAsia="黑体" w:cs="Times New Roman"/>
          <w:b/>
          <w:sz w:val="28"/>
          <w:szCs w:val="24"/>
        </w:rPr>
        <w:t>、</w:t>
      </w:r>
    </w:p>
    <w:tbl>
      <w:tblPr>
        <w:tblStyle w:val="17"/>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882"/>
        <w:gridCol w:w="544"/>
        <w:gridCol w:w="511"/>
        <w:gridCol w:w="590"/>
        <w:gridCol w:w="771"/>
        <w:gridCol w:w="695"/>
        <w:gridCol w:w="172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637" w:type="dxa"/>
            <w:vAlign w:val="center"/>
          </w:tcPr>
          <w:p>
            <w:pPr>
              <w:adjustRightInd w:val="0"/>
              <w:snapToGrid w:val="0"/>
              <w:rPr>
                <w:rFonts w:ascii="宋体" w:hAnsi="宋体" w:eastAsia="宋体" w:cs="Times New Roman"/>
                <w:b/>
                <w:szCs w:val="21"/>
              </w:rPr>
            </w:pPr>
            <w:r>
              <w:rPr>
                <w:rFonts w:hint="eastAsia" w:ascii="宋体" w:hAnsi="宋体" w:eastAsia="宋体" w:cs="Times New Roman"/>
                <w:b/>
                <w:szCs w:val="21"/>
              </w:rPr>
              <w:t>序</w:t>
            </w:r>
            <w:r>
              <w:rPr>
                <w:rFonts w:ascii="宋体" w:hAnsi="宋体" w:eastAsia="宋体" w:cs="Times New Roman"/>
                <w:b/>
                <w:szCs w:val="21"/>
              </w:rPr>
              <w:t>号</w:t>
            </w:r>
          </w:p>
        </w:tc>
        <w:tc>
          <w:tcPr>
            <w:tcW w:w="882"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姓名</w:t>
            </w:r>
          </w:p>
        </w:tc>
        <w:tc>
          <w:tcPr>
            <w:tcW w:w="544"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类型</w:t>
            </w:r>
          </w:p>
        </w:tc>
        <w:tc>
          <w:tcPr>
            <w:tcW w:w="511"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性别</w:t>
            </w:r>
          </w:p>
        </w:tc>
        <w:tc>
          <w:tcPr>
            <w:tcW w:w="590"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年龄</w:t>
            </w:r>
          </w:p>
        </w:tc>
        <w:tc>
          <w:tcPr>
            <w:tcW w:w="771"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职称</w:t>
            </w:r>
          </w:p>
        </w:tc>
        <w:tc>
          <w:tcPr>
            <w:tcW w:w="695"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国别</w:t>
            </w:r>
          </w:p>
        </w:tc>
        <w:tc>
          <w:tcPr>
            <w:tcW w:w="1723"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工作单位</w:t>
            </w:r>
          </w:p>
        </w:tc>
        <w:tc>
          <w:tcPr>
            <w:tcW w:w="1580" w:type="dxa"/>
            <w:vAlign w:val="center"/>
          </w:tcPr>
          <w:p>
            <w:pPr>
              <w:adjustRightInd w:val="0"/>
              <w:snapToGrid w:val="0"/>
              <w:jc w:val="center"/>
              <w:rPr>
                <w:rFonts w:ascii="宋体" w:hAnsi="宋体" w:eastAsia="宋体" w:cs="Times New Roman"/>
                <w:b/>
                <w:szCs w:val="21"/>
              </w:rPr>
            </w:pPr>
            <w:r>
              <w:rPr>
                <w:rFonts w:ascii="宋体" w:hAnsi="宋体" w:eastAsia="宋体" w:cs="Times New Roman"/>
                <w:b/>
                <w:szCs w:val="21"/>
              </w:rPr>
              <w:t>在实验室工作期限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hint="eastAsia" w:ascii="宋体" w:hAnsi="宋体" w:eastAsia="宋体" w:cs="宋体"/>
                <w:szCs w:val="21"/>
              </w:rPr>
              <w:t>蒋玲艳</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女</w:t>
            </w:r>
          </w:p>
        </w:tc>
        <w:tc>
          <w:tcPr>
            <w:tcW w:w="590" w:type="dxa"/>
            <w:vAlign w:val="top"/>
          </w:tcPr>
          <w:p>
            <w:pPr>
              <w:jc w:val="center"/>
              <w:rPr>
                <w:rFonts w:ascii="宋体" w:hAnsi="宋体" w:eastAsia="宋体" w:cs="Times New Roman"/>
                <w:szCs w:val="21"/>
              </w:rPr>
            </w:pPr>
            <w:r>
              <w:rPr>
                <w:rFonts w:ascii="宋体" w:hAnsi="宋体" w:eastAsia="宋体" w:cs="宋体"/>
                <w:szCs w:val="21"/>
              </w:rPr>
              <w:t>33</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Times New Roman"/>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2014.12-</w:t>
            </w:r>
            <w:r>
              <w:rPr>
                <w:rFonts w:hint="eastAsia" w:ascii="宋体" w:hAnsi="宋体" w:eastAsia="宋体" w:cs="宋体"/>
                <w:szCs w:val="21"/>
              </w:rPr>
              <w:t>2</w:t>
            </w:r>
            <w:r>
              <w:rPr>
                <w:rFonts w:ascii="宋体" w:hAnsi="宋体" w:eastAsia="宋体" w:cs="宋体"/>
                <w:szCs w:val="21"/>
              </w:rPr>
              <w:t>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hint="eastAsia" w:ascii="宋体" w:hAnsi="宋体" w:eastAsia="宋体" w:cs="宋体"/>
                <w:szCs w:val="21"/>
              </w:rPr>
              <w:t>李喜林</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spacing w:line="360" w:lineRule="auto"/>
              <w:jc w:val="center"/>
              <w:rPr>
                <w:rFonts w:ascii="宋体" w:hAnsi="宋体" w:eastAsia="宋体" w:cs="Times New Roman"/>
                <w:szCs w:val="21"/>
              </w:rPr>
            </w:pPr>
            <w:r>
              <w:rPr>
                <w:rFonts w:ascii="宋体" w:hAnsi="宋体" w:eastAsia="宋体" w:cs="宋体"/>
                <w:szCs w:val="21"/>
              </w:rPr>
              <w:t>38</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Times New Roman"/>
                <w:szCs w:val="21"/>
              </w:rPr>
            </w:pPr>
            <w:r>
              <w:rPr>
                <w:rFonts w:hint="eastAsia" w:ascii="宋体" w:hAnsi="宋体" w:eastAsia="宋体" w:cs="宋体"/>
                <w:szCs w:val="21"/>
              </w:rPr>
              <w:t>辽宁工程技术大学</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2014.7-</w:t>
            </w:r>
            <w:r>
              <w:rPr>
                <w:rFonts w:hint="eastAsia" w:ascii="宋体" w:hAnsi="宋体" w:eastAsia="宋体" w:cs="宋体"/>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hint="eastAsia" w:ascii="宋体" w:hAnsi="宋体" w:eastAsia="宋体" w:cs="宋体"/>
                <w:szCs w:val="21"/>
              </w:rPr>
              <w:t>白鹤</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31</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Times New Roman"/>
                <w:szCs w:val="21"/>
              </w:rPr>
            </w:pPr>
            <w:r>
              <w:rPr>
                <w:rFonts w:hint="eastAsia" w:ascii="宋体" w:hAnsi="宋体" w:eastAsia="宋体" w:cs="宋体"/>
                <w:szCs w:val="21"/>
              </w:rPr>
              <w:t>中海油节能环保服务有限公司</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2014.5-</w:t>
            </w:r>
            <w:r>
              <w:rPr>
                <w:rFonts w:hint="eastAsia" w:ascii="宋体" w:hAnsi="宋体" w:eastAsia="宋体" w:cs="宋体"/>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ascii="宋体" w:hAnsi="宋体" w:eastAsia="宋体" w:cs="宋体"/>
                <w:szCs w:val="21"/>
              </w:rPr>
              <w:t>RANJIT</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spacing w:line="480" w:lineRule="auto"/>
              <w:ind w:firstLine="315" w:firstLineChars="150"/>
              <w:rPr>
                <w:rFonts w:ascii="宋体" w:hAnsi="宋体" w:eastAsia="宋体" w:cs="Times New Roman"/>
                <w:szCs w:val="21"/>
              </w:rPr>
            </w:pPr>
            <w:r>
              <w:rPr>
                <w:rFonts w:ascii="宋体" w:hAnsi="宋体" w:eastAsia="宋体" w:cs="宋体"/>
                <w:szCs w:val="21"/>
              </w:rPr>
              <w:t>31</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印度</w:t>
            </w:r>
          </w:p>
        </w:tc>
        <w:tc>
          <w:tcPr>
            <w:tcW w:w="1723" w:type="dxa"/>
            <w:vAlign w:val="center"/>
          </w:tcPr>
          <w:p>
            <w:pPr>
              <w:jc w:val="center"/>
              <w:rPr>
                <w:rFonts w:ascii="宋体" w:hAnsi="宋体" w:eastAsia="宋体" w:cs="Times New Roman"/>
                <w:szCs w:val="21"/>
              </w:rPr>
            </w:pPr>
            <w:r>
              <w:rPr>
                <w:rFonts w:ascii="宋体" w:hAnsi="宋体" w:eastAsia="宋体" w:cs="宋体"/>
                <w:szCs w:val="21"/>
              </w:rPr>
              <w:t>Shivaji University</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2014.6-</w:t>
            </w:r>
            <w:r>
              <w:rPr>
                <w:rFonts w:hint="eastAsia" w:ascii="宋体" w:hAnsi="宋体" w:eastAsia="宋体" w:cs="宋体"/>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hint="eastAsia" w:ascii="宋体" w:hAnsi="宋体" w:eastAsia="宋体" w:cs="宋体"/>
                <w:szCs w:val="21"/>
              </w:rPr>
              <w:t>胡献刚</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spacing w:line="360" w:lineRule="auto"/>
              <w:jc w:val="center"/>
              <w:rPr>
                <w:rFonts w:ascii="宋体" w:hAnsi="宋体" w:eastAsia="宋体" w:cs="Times New Roman"/>
                <w:szCs w:val="21"/>
              </w:rPr>
            </w:pPr>
            <w:r>
              <w:rPr>
                <w:rFonts w:ascii="宋体" w:hAnsi="宋体" w:eastAsia="宋体" w:cs="宋体"/>
                <w:szCs w:val="21"/>
              </w:rPr>
              <w:t>34</w:t>
            </w:r>
          </w:p>
        </w:tc>
        <w:tc>
          <w:tcPr>
            <w:tcW w:w="771" w:type="dxa"/>
            <w:vAlign w:val="top"/>
          </w:tcPr>
          <w:p>
            <w:pPr>
              <w:spacing w:line="360" w:lineRule="auto"/>
              <w:jc w:val="center"/>
              <w:rPr>
                <w:rFonts w:ascii="宋体" w:hAnsi="宋体" w:eastAsia="宋体" w:cs="Times New Roman"/>
                <w:szCs w:val="21"/>
              </w:rPr>
            </w:pPr>
            <w:r>
              <w:rPr>
                <w:rFonts w:hint="eastAsia" w:ascii="宋体" w:hAnsi="宋体" w:eastAsia="宋体" w:cs="宋体"/>
                <w:szCs w:val="21"/>
              </w:rPr>
              <w:t>副教授</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Times New Roman"/>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2014.1-</w:t>
            </w:r>
            <w:r>
              <w:rPr>
                <w:rFonts w:hint="eastAsia" w:ascii="宋体" w:hAnsi="宋体" w:eastAsia="宋体" w:cs="宋体"/>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Times New Roman"/>
                <w:szCs w:val="21"/>
              </w:rPr>
            </w:pPr>
            <w:r>
              <w:rPr>
                <w:rFonts w:hint="eastAsia" w:ascii="宋体" w:hAnsi="宋体" w:eastAsia="宋体" w:cs="宋体"/>
                <w:szCs w:val="21"/>
              </w:rPr>
              <w:t>臧国龙</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spacing w:line="480" w:lineRule="auto"/>
              <w:jc w:val="center"/>
              <w:rPr>
                <w:rFonts w:ascii="宋体" w:hAnsi="宋体" w:eastAsia="宋体" w:cs="Times New Roman"/>
                <w:szCs w:val="21"/>
              </w:rPr>
            </w:pPr>
            <w:r>
              <w:rPr>
                <w:rFonts w:ascii="宋体" w:hAnsi="宋体" w:eastAsia="宋体" w:cs="宋体"/>
                <w:szCs w:val="21"/>
              </w:rPr>
              <w:t>32</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Times New Roman"/>
                <w:szCs w:val="21"/>
              </w:rPr>
            </w:pPr>
            <w:r>
              <w:rPr>
                <w:rFonts w:hint="eastAsia" w:ascii="宋体" w:hAnsi="宋体" w:eastAsia="宋体" w:cs="宋体"/>
                <w:szCs w:val="21"/>
              </w:rPr>
              <w:t>中国科学技术大学</w:t>
            </w:r>
          </w:p>
        </w:tc>
        <w:tc>
          <w:tcPr>
            <w:tcW w:w="1580" w:type="dxa"/>
            <w:vAlign w:val="center"/>
          </w:tcPr>
          <w:p>
            <w:pPr>
              <w:jc w:val="center"/>
              <w:rPr>
                <w:rFonts w:ascii="宋体" w:hAnsi="宋体" w:eastAsia="宋体" w:cs="Times New Roman"/>
                <w:szCs w:val="21"/>
              </w:rPr>
            </w:pPr>
            <w:r>
              <w:rPr>
                <w:rFonts w:ascii="宋体" w:hAnsi="宋体" w:eastAsia="宋体" w:cs="宋体"/>
                <w:szCs w:val="21"/>
              </w:rPr>
              <w:t>2013.10-</w:t>
            </w:r>
            <w:r>
              <w:rPr>
                <w:rFonts w:hint="eastAsia" w:ascii="宋体" w:hAnsi="宋体" w:eastAsia="宋体" w:cs="宋体"/>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cs="宋体"/>
                <w:szCs w:val="21"/>
              </w:rPr>
            </w:pPr>
            <w:r>
              <w:rPr>
                <w:rFonts w:hint="eastAsia" w:ascii="宋体" w:hAnsi="宋体" w:eastAsia="宋体"/>
                <w:szCs w:val="21"/>
              </w:rPr>
              <w:t>王子铱</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cs="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ascii="宋体" w:hAnsi="宋体" w:eastAsia="宋体" w:cs="宋体"/>
                <w:szCs w:val="21"/>
              </w:rPr>
              <w:t>31</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鸿富锦精密工业（深圳）有限公司</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2015.12-至今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cs="宋体"/>
                <w:szCs w:val="21"/>
              </w:rPr>
            </w:pPr>
            <w:r>
              <w:rPr>
                <w:rFonts w:hint="eastAsia" w:ascii="宋体" w:hAnsi="宋体" w:eastAsia="宋体"/>
                <w:szCs w:val="21"/>
              </w:rPr>
              <w:t>张菲菲</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cs="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ascii="宋体" w:hAnsi="宋体" w:eastAsia="宋体" w:cs="宋体"/>
                <w:szCs w:val="21"/>
              </w:rPr>
              <w:t>37</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天津再生资源研究所</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2015.1-至今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cs="宋体"/>
                <w:szCs w:val="21"/>
              </w:rPr>
            </w:pPr>
            <w:r>
              <w:rPr>
                <w:rFonts w:hint="eastAsia" w:ascii="宋体" w:hAnsi="宋体" w:eastAsia="宋体"/>
                <w:szCs w:val="21"/>
              </w:rPr>
              <w:t>刘全力</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cs="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40</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2015.7-至今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cs="宋体"/>
                <w:szCs w:val="21"/>
              </w:rPr>
            </w:pPr>
            <w:r>
              <w:rPr>
                <w:rFonts w:hint="eastAsia" w:ascii="宋体" w:hAnsi="宋体" w:eastAsia="宋体"/>
                <w:szCs w:val="21"/>
              </w:rPr>
              <w:t>kumer</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cs="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35</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印度</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2015.6-至今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ascii="宋体" w:hAnsi="宋体" w:eastAsia="宋体"/>
                <w:szCs w:val="21"/>
              </w:rPr>
              <w:t>ONDON Brim Stevy</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博士后</w:t>
            </w:r>
          </w:p>
        </w:tc>
        <w:tc>
          <w:tcPr>
            <w:tcW w:w="511" w:type="dxa"/>
            <w:vAlign w:val="center"/>
          </w:tcPr>
          <w:p>
            <w:pPr>
              <w:jc w:val="center"/>
              <w:rPr>
                <w:rFonts w:ascii="宋体" w:hAnsi="宋体" w:eastAsia="宋体" w:cs="Times New Roman"/>
                <w:szCs w:val="21"/>
              </w:rPr>
            </w:pPr>
            <w:r>
              <w:rPr>
                <w:rFonts w:hint="eastAsia" w:ascii="宋体" w:hAnsi="宋体" w:eastAsia="宋体" w:cs="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36</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刚果</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2016.11-至今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王志刚</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33</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工程师</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中国五环工程有限公司</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2016.11-至今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张一</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ascii="宋体" w:hAnsi="宋体" w:eastAsia="宋体" w:cs="宋体"/>
                <w:szCs w:val="21"/>
              </w:rPr>
              <w:t>31</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南方科技大学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2016.10-至今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杨晓飞</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ascii="宋体" w:hAnsi="宋体" w:eastAsia="宋体" w:cs="宋体"/>
                <w:szCs w:val="21"/>
              </w:rPr>
              <w:t>32</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2016.7-至今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王菲</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ascii="宋体" w:hAnsi="宋体" w:eastAsia="宋体" w:cs="宋体"/>
                <w:szCs w:val="21"/>
              </w:rPr>
              <w:t>30</w:t>
            </w:r>
          </w:p>
        </w:tc>
        <w:tc>
          <w:tcPr>
            <w:tcW w:w="771" w:type="dxa"/>
            <w:vAlign w:val="top"/>
          </w:tcPr>
          <w:p>
            <w:pPr>
              <w:jc w:val="center"/>
              <w:rPr>
                <w:rFonts w:ascii="宋体" w:hAnsi="宋体" w:eastAsia="宋体" w:cs="Times New Roman"/>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2016.7-至今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李朋辉</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hint="eastAsia" w:ascii="宋体" w:hAnsi="宋体" w:eastAsia="宋体" w:cs="宋体"/>
                <w:szCs w:val="21"/>
              </w:rPr>
              <w:t>30</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滕涌</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hint="eastAsia" w:ascii="宋体" w:hAnsi="宋体" w:eastAsia="宋体" w:cs="宋体"/>
                <w:szCs w:val="21"/>
              </w:rPr>
              <w:t>28</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张茜</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hint="eastAsia" w:ascii="宋体" w:hAnsi="宋体" w:eastAsia="宋体" w:cs="宋体"/>
                <w:szCs w:val="21"/>
              </w:rPr>
              <w:t>28</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2017.7-至今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廖荷欢</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hint="eastAsia" w:ascii="宋体" w:hAnsi="宋体" w:eastAsia="宋体" w:cs="宋体"/>
                <w:szCs w:val="21"/>
              </w:rPr>
              <w:t>37</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017.3-至今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李荣</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hint="eastAsia" w:ascii="宋体" w:hAnsi="宋体" w:eastAsia="宋体" w:cs="宋体"/>
                <w:szCs w:val="21"/>
              </w:rPr>
              <w:t>27</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南方科技大学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2017.12-至今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KUMANAN HARATHI YAZHINI</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hint="eastAsia" w:ascii="宋体" w:hAnsi="宋体" w:eastAsia="宋体" w:cs="宋体"/>
                <w:szCs w:val="21"/>
              </w:rPr>
              <w:t>31</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印度</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Alagappa University</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2017.12-至今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张连营</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男</w:t>
            </w:r>
          </w:p>
        </w:tc>
        <w:tc>
          <w:tcPr>
            <w:tcW w:w="590" w:type="dxa"/>
            <w:vAlign w:val="top"/>
          </w:tcPr>
          <w:p>
            <w:pPr>
              <w:jc w:val="center"/>
              <w:rPr>
                <w:rFonts w:ascii="宋体" w:hAnsi="宋体" w:eastAsia="宋体" w:cs="宋体"/>
                <w:szCs w:val="21"/>
              </w:rPr>
            </w:pPr>
            <w:r>
              <w:rPr>
                <w:rFonts w:hint="eastAsia" w:ascii="宋体" w:hAnsi="宋体" w:eastAsia="宋体" w:cs="宋体"/>
                <w:szCs w:val="21"/>
              </w:rPr>
              <w:t>36</w:t>
            </w:r>
          </w:p>
        </w:tc>
        <w:tc>
          <w:tcPr>
            <w:tcW w:w="771" w:type="dxa"/>
            <w:vAlign w:val="top"/>
          </w:tcPr>
          <w:p>
            <w:pPr>
              <w:jc w:val="center"/>
              <w:rPr>
                <w:rFonts w:ascii="宋体" w:hAnsi="宋体" w:eastAsia="宋体" w:cs="宋体"/>
                <w:szCs w:val="21"/>
              </w:rPr>
            </w:pPr>
            <w:r>
              <w:rPr>
                <w:rFonts w:hint="eastAsia" w:ascii="宋体" w:hAnsi="宋体" w:eastAsia="宋体" w:cs="宋体"/>
                <w:szCs w:val="21"/>
              </w:rPr>
              <w:t>副教授</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德州学院</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2017.6-至今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bottom"/>
          </w:tcPr>
          <w:p>
            <w:pPr>
              <w:jc w:val="center"/>
              <w:rPr>
                <w:rFonts w:ascii="宋体" w:hAnsi="宋体" w:eastAsia="宋体"/>
                <w:szCs w:val="21"/>
              </w:rPr>
            </w:pPr>
            <w:r>
              <w:rPr>
                <w:rFonts w:hint="eastAsia" w:ascii="宋体" w:hAnsi="宋体" w:eastAsia="宋体"/>
                <w:szCs w:val="21"/>
              </w:rPr>
              <w:t>吕翠翠</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博士后</w:t>
            </w:r>
          </w:p>
        </w:tc>
        <w:tc>
          <w:tcPr>
            <w:tcW w:w="511" w:type="dxa"/>
            <w:vAlign w:val="bottom"/>
          </w:tcPr>
          <w:p>
            <w:pPr>
              <w:rPr>
                <w:rFonts w:ascii="宋体" w:hAnsi="宋体" w:eastAsia="宋体"/>
                <w:szCs w:val="21"/>
              </w:rPr>
            </w:pPr>
            <w:r>
              <w:rPr>
                <w:rFonts w:hint="eastAsia" w:ascii="宋体" w:hAnsi="宋体" w:eastAsia="宋体"/>
                <w:szCs w:val="21"/>
              </w:rPr>
              <w:t>女</w:t>
            </w:r>
          </w:p>
        </w:tc>
        <w:tc>
          <w:tcPr>
            <w:tcW w:w="590" w:type="dxa"/>
            <w:vAlign w:val="top"/>
          </w:tcPr>
          <w:p>
            <w:pPr>
              <w:jc w:val="center"/>
              <w:rPr>
                <w:rFonts w:ascii="宋体" w:hAnsi="宋体" w:eastAsia="宋体" w:cs="宋体"/>
                <w:szCs w:val="21"/>
              </w:rPr>
            </w:pPr>
            <w:r>
              <w:rPr>
                <w:rFonts w:hint="eastAsia" w:ascii="宋体" w:hAnsi="宋体" w:eastAsia="宋体" w:cs="宋体"/>
                <w:szCs w:val="21"/>
              </w:rPr>
              <w:t>30</w:t>
            </w:r>
          </w:p>
        </w:tc>
        <w:tc>
          <w:tcPr>
            <w:tcW w:w="771" w:type="dxa"/>
            <w:vAlign w:val="top"/>
          </w:tcPr>
          <w:p>
            <w:pPr>
              <w:jc w:val="center"/>
              <w:rPr>
                <w:rFonts w:ascii="宋体" w:hAnsi="宋体" w:eastAsia="宋体" w:cs="宋体"/>
                <w:szCs w:val="21"/>
              </w:rPr>
            </w:pPr>
            <w:r>
              <w:rPr>
                <w:rFonts w:hint="eastAsia" w:ascii="宋体" w:hAnsi="宋体" w:eastAsia="宋体" w:cs="宋体"/>
                <w:szCs w:val="21"/>
              </w:rPr>
              <w:t>助理研究员</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南开大学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2017.6-至今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宋体"/>
                <w:szCs w:val="21"/>
              </w:rPr>
            </w:pPr>
            <w:r>
              <w:rPr>
                <w:rFonts w:hint="eastAsia" w:ascii="宋体" w:hAnsi="宋体" w:eastAsia="宋体" w:cs="宋体"/>
                <w:szCs w:val="21"/>
              </w:rPr>
              <w:t>王洋</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访问学者</w:t>
            </w:r>
          </w:p>
        </w:tc>
        <w:tc>
          <w:tcPr>
            <w:tcW w:w="511" w:type="dxa"/>
            <w:vAlign w:val="center"/>
          </w:tcPr>
          <w:p>
            <w:pPr>
              <w:rPr>
                <w:rFonts w:ascii="宋体" w:hAnsi="宋体" w:eastAsia="宋体"/>
                <w:szCs w:val="21"/>
              </w:rPr>
            </w:pPr>
            <w:r>
              <w:rPr>
                <w:rFonts w:hint="eastAsia" w:ascii="宋体" w:hAnsi="宋体" w:eastAsia="宋体"/>
                <w:szCs w:val="21"/>
              </w:rPr>
              <w:t>女</w:t>
            </w:r>
          </w:p>
        </w:tc>
        <w:tc>
          <w:tcPr>
            <w:tcW w:w="590" w:type="dxa"/>
            <w:vAlign w:val="top"/>
          </w:tcPr>
          <w:p>
            <w:pPr>
              <w:spacing w:line="480" w:lineRule="auto"/>
              <w:jc w:val="center"/>
              <w:rPr>
                <w:rFonts w:ascii="宋体" w:hAnsi="宋体" w:eastAsia="宋体" w:cs="宋体"/>
                <w:szCs w:val="21"/>
              </w:rPr>
            </w:pPr>
            <w:r>
              <w:rPr>
                <w:rFonts w:hint="eastAsia" w:ascii="宋体" w:hAnsi="宋体" w:eastAsia="宋体" w:cs="宋体"/>
                <w:szCs w:val="21"/>
              </w:rPr>
              <w:t>38</w:t>
            </w:r>
          </w:p>
        </w:tc>
        <w:tc>
          <w:tcPr>
            <w:tcW w:w="771" w:type="dxa"/>
            <w:vAlign w:val="top"/>
          </w:tcPr>
          <w:p>
            <w:pPr>
              <w:jc w:val="center"/>
              <w:rPr>
                <w:rFonts w:ascii="宋体" w:hAnsi="宋体" w:eastAsia="宋体" w:cs="宋体"/>
                <w:szCs w:val="21"/>
              </w:rPr>
            </w:pPr>
            <w:r>
              <w:rPr>
                <w:rFonts w:hint="eastAsia" w:ascii="宋体" w:hAnsi="宋体" w:eastAsia="宋体" w:cs="宋体"/>
                <w:szCs w:val="21"/>
              </w:rPr>
              <w:t>讲师</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哈尔滨师范大学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2017.9-2018.6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jc w:val="center"/>
              <w:rPr>
                <w:rFonts w:ascii="宋体" w:hAnsi="宋体" w:eastAsia="宋体" w:cs="宋体"/>
                <w:szCs w:val="21"/>
              </w:rPr>
            </w:pPr>
            <w:r>
              <w:rPr>
                <w:rFonts w:hint="eastAsia" w:ascii="宋体" w:hAnsi="宋体" w:eastAsia="宋体" w:cs="宋体"/>
                <w:szCs w:val="21"/>
              </w:rPr>
              <w:t>王婷</w:t>
            </w:r>
          </w:p>
        </w:tc>
        <w:tc>
          <w:tcPr>
            <w:tcW w:w="544"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访问学者</w:t>
            </w:r>
          </w:p>
        </w:tc>
        <w:tc>
          <w:tcPr>
            <w:tcW w:w="511" w:type="dxa"/>
            <w:vAlign w:val="center"/>
          </w:tcPr>
          <w:p>
            <w:pPr>
              <w:rPr>
                <w:rFonts w:ascii="宋体" w:hAnsi="宋体" w:eastAsia="宋体"/>
                <w:szCs w:val="21"/>
              </w:rPr>
            </w:pPr>
            <w:r>
              <w:rPr>
                <w:rFonts w:hint="eastAsia" w:ascii="宋体" w:hAnsi="宋体" w:eastAsia="宋体"/>
                <w:szCs w:val="21"/>
              </w:rPr>
              <w:t>女</w:t>
            </w:r>
          </w:p>
        </w:tc>
        <w:tc>
          <w:tcPr>
            <w:tcW w:w="590" w:type="dxa"/>
            <w:vAlign w:val="top"/>
          </w:tcPr>
          <w:p>
            <w:pPr>
              <w:spacing w:line="480"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6</w:t>
            </w:r>
          </w:p>
        </w:tc>
        <w:tc>
          <w:tcPr>
            <w:tcW w:w="771" w:type="dxa"/>
            <w:vAlign w:val="top"/>
          </w:tcPr>
          <w:p>
            <w:pPr>
              <w:jc w:val="center"/>
              <w:rPr>
                <w:rFonts w:ascii="宋体" w:hAnsi="宋体" w:eastAsia="宋体" w:cs="宋体"/>
                <w:szCs w:val="21"/>
              </w:rPr>
            </w:pPr>
            <w:r>
              <w:rPr>
                <w:rFonts w:hint="eastAsia" w:ascii="宋体" w:hAnsi="宋体" w:eastAsia="宋体" w:cs="宋体"/>
                <w:szCs w:val="21"/>
              </w:rPr>
              <w:t>讲师</w:t>
            </w:r>
          </w:p>
        </w:tc>
        <w:tc>
          <w:tcPr>
            <w:tcW w:w="695" w:type="dxa"/>
            <w:vAlign w:val="center"/>
          </w:tcPr>
          <w:p>
            <w:pPr>
              <w:adjustRightInd w:val="0"/>
              <w:snapToGrid w:val="0"/>
              <w:spacing w:line="280" w:lineRule="exact"/>
              <w:jc w:val="center"/>
              <w:rPr>
                <w:rFonts w:ascii="宋体" w:hAnsi="宋体" w:eastAsia="宋体" w:cs="宋体"/>
                <w:szCs w:val="21"/>
              </w:rPr>
            </w:pPr>
            <w:r>
              <w:rPr>
                <w:rFonts w:hint="eastAsia" w:ascii="宋体" w:hAnsi="宋体" w:eastAsia="宋体" w:cs="宋体"/>
                <w:szCs w:val="21"/>
              </w:rPr>
              <w:t>中国</w:t>
            </w:r>
          </w:p>
        </w:tc>
        <w:tc>
          <w:tcPr>
            <w:tcW w:w="1723" w:type="dxa"/>
            <w:vAlign w:val="center"/>
          </w:tcPr>
          <w:p>
            <w:pPr>
              <w:jc w:val="center"/>
              <w:rPr>
                <w:rFonts w:ascii="宋体" w:hAnsi="宋体" w:eastAsia="宋体" w:cs="宋体"/>
                <w:szCs w:val="21"/>
              </w:rPr>
            </w:pPr>
            <w:r>
              <w:rPr>
                <w:rFonts w:hint="eastAsia" w:ascii="宋体" w:hAnsi="宋体" w:eastAsia="宋体" w:cs="宋体"/>
                <w:szCs w:val="21"/>
              </w:rPr>
              <w:t>沈阳药科大学</w:t>
            </w:r>
          </w:p>
        </w:tc>
        <w:tc>
          <w:tcPr>
            <w:tcW w:w="1580" w:type="dxa"/>
            <w:vAlign w:val="center"/>
          </w:tcPr>
          <w:p>
            <w:pPr>
              <w:jc w:val="center"/>
              <w:rPr>
                <w:rFonts w:ascii="宋体" w:hAnsi="宋体" w:eastAsia="宋体" w:cs="宋体"/>
                <w:szCs w:val="21"/>
              </w:rPr>
            </w:pPr>
            <w:r>
              <w:rPr>
                <w:rFonts w:hint="eastAsia" w:ascii="宋体" w:hAnsi="宋体" w:eastAsia="宋体" w:cs="宋体"/>
                <w:szCs w:val="21"/>
              </w:rPr>
              <w:t>2017.2-2017.6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37" w:type="dxa"/>
            <w:vAlign w:val="center"/>
          </w:tcPr>
          <w:p>
            <w:pPr>
              <w:pStyle w:val="19"/>
              <w:numPr>
                <w:ilvl w:val="0"/>
                <w:numId w:val="3"/>
              </w:numPr>
              <w:adjustRightInd w:val="0"/>
              <w:snapToGrid w:val="0"/>
              <w:spacing w:line="280" w:lineRule="exact"/>
              <w:ind w:firstLineChars="0"/>
              <w:jc w:val="center"/>
              <w:rPr>
                <w:rFonts w:ascii="宋体" w:hAnsi="宋体" w:eastAsia="宋体" w:cs="Times New Roman"/>
                <w:szCs w:val="21"/>
              </w:rPr>
            </w:pPr>
          </w:p>
        </w:tc>
        <w:tc>
          <w:tcPr>
            <w:tcW w:w="882"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刘洋</w:t>
            </w:r>
          </w:p>
        </w:tc>
        <w:tc>
          <w:tcPr>
            <w:tcW w:w="544"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其他</w:t>
            </w:r>
          </w:p>
        </w:tc>
        <w:tc>
          <w:tcPr>
            <w:tcW w:w="511"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女</w:t>
            </w:r>
          </w:p>
        </w:tc>
        <w:tc>
          <w:tcPr>
            <w:tcW w:w="590" w:type="dxa"/>
            <w:vAlign w:val="center"/>
          </w:tcPr>
          <w:p>
            <w:pPr>
              <w:adjustRightInd w:val="0"/>
              <w:snapToGrid w:val="0"/>
              <w:spacing w:line="280" w:lineRule="exact"/>
              <w:jc w:val="center"/>
              <w:rPr>
                <w:rFonts w:ascii="宋体" w:hAnsi="宋体" w:eastAsia="宋体" w:cs="宋体"/>
                <w:szCs w:val="21"/>
              </w:rPr>
            </w:pPr>
            <w:r>
              <w:rPr>
                <w:rFonts w:ascii="宋体" w:hAnsi="宋体" w:eastAsia="宋体" w:cs="宋体"/>
                <w:szCs w:val="21"/>
              </w:rPr>
              <w:t>37</w:t>
            </w:r>
          </w:p>
        </w:tc>
        <w:tc>
          <w:tcPr>
            <w:tcW w:w="771"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青年千人计划</w:t>
            </w:r>
          </w:p>
        </w:tc>
        <w:tc>
          <w:tcPr>
            <w:tcW w:w="695"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中国</w:t>
            </w:r>
          </w:p>
        </w:tc>
        <w:tc>
          <w:tcPr>
            <w:tcW w:w="1723" w:type="dxa"/>
            <w:vAlign w:val="center"/>
          </w:tcPr>
          <w:p>
            <w:pPr>
              <w:adjustRightInd w:val="0"/>
              <w:snapToGrid w:val="0"/>
              <w:spacing w:line="280" w:lineRule="exact"/>
              <w:jc w:val="center"/>
              <w:rPr>
                <w:rFonts w:ascii="宋体" w:hAnsi="宋体" w:eastAsia="宋体" w:cs="Times New Roman"/>
                <w:szCs w:val="21"/>
              </w:rPr>
            </w:pPr>
            <w:r>
              <w:rPr>
                <w:rFonts w:hint="eastAsia" w:ascii="宋体" w:hAnsi="宋体" w:eastAsia="宋体" w:cs="宋体"/>
                <w:szCs w:val="21"/>
              </w:rPr>
              <w:t>加拿大阿尔伯塔大学</w:t>
            </w:r>
          </w:p>
        </w:tc>
        <w:tc>
          <w:tcPr>
            <w:tcW w:w="1580" w:type="dxa"/>
            <w:vAlign w:val="center"/>
          </w:tcPr>
          <w:p>
            <w:pPr>
              <w:adjustRightInd w:val="0"/>
              <w:snapToGrid w:val="0"/>
              <w:spacing w:line="280" w:lineRule="exact"/>
              <w:jc w:val="center"/>
              <w:rPr>
                <w:rFonts w:ascii="宋体" w:hAnsi="宋体" w:eastAsia="宋体" w:cs="Times New Roman"/>
                <w:szCs w:val="21"/>
              </w:rPr>
            </w:pPr>
            <w:r>
              <w:rPr>
                <w:rFonts w:ascii="宋体" w:hAnsi="宋体" w:eastAsia="宋体" w:cs="宋体"/>
                <w:szCs w:val="21"/>
              </w:rPr>
              <w:t>2011</w:t>
            </w:r>
            <w:r>
              <w:rPr>
                <w:rFonts w:hint="eastAsia" w:ascii="宋体" w:hAnsi="宋体" w:eastAsia="宋体" w:cs="宋体"/>
                <w:szCs w:val="21"/>
              </w:rPr>
              <w:t>年</w:t>
            </w:r>
            <w:r>
              <w:rPr>
                <w:rFonts w:ascii="宋体" w:hAnsi="宋体" w:eastAsia="宋体" w:cs="宋体"/>
                <w:szCs w:val="21"/>
              </w:rPr>
              <w:t>-</w:t>
            </w:r>
            <w:r>
              <w:rPr>
                <w:rFonts w:hint="eastAsia" w:ascii="宋体" w:hAnsi="宋体" w:eastAsia="宋体" w:cs="宋体"/>
                <w:szCs w:val="21"/>
              </w:rPr>
              <w:t>至今</w:t>
            </w:r>
          </w:p>
        </w:tc>
      </w:tr>
    </w:tbl>
    <w:p>
      <w:pPr>
        <w:adjustRightInd w:val="0"/>
        <w:snapToGrid w:val="0"/>
        <w:ind w:firstLine="420" w:firstLineChars="200"/>
        <w:rPr>
          <w:rFonts w:ascii="宋体" w:hAnsi="宋体" w:eastAsia="宋体" w:cs="宋体"/>
          <w:szCs w:val="21"/>
        </w:rPr>
      </w:pPr>
      <w:r>
        <w:rPr>
          <w:rFonts w:ascii="Times New Roman" w:hAnsi="Times New Roman" w:eastAsia="楷体_GB2312" w:cs="Times New Roman"/>
          <w:kern w:val="0"/>
          <w:szCs w:val="20"/>
        </w:rPr>
        <w:t>注：</w:t>
      </w:r>
      <w:r>
        <w:rPr>
          <w:rFonts w:ascii="宋体" w:hAnsi="宋体" w:eastAsia="宋体" w:cs="宋体"/>
          <w:szCs w:val="21"/>
        </w:rPr>
        <w:t>（1）流动人员包括“博士后研究人员、访问学者、其他”三种类型，请按照以上三种类型进行人员排序。（2）在“实验室工作期限”在实验室工作的协议起止时间。</w:t>
      </w:r>
    </w:p>
    <w:p>
      <w:pPr>
        <w:adjustRightInd w:val="0"/>
        <w:snapToGrid w:val="0"/>
        <w:ind w:firstLine="560" w:firstLineChars="200"/>
        <w:rPr>
          <w:rFonts w:ascii="Times New Roman" w:hAnsi="Times New Roman" w:eastAsia="楷体_GB2312" w:cs="Times New Roman"/>
          <w:sz w:val="28"/>
          <w:szCs w:val="24"/>
        </w:rPr>
      </w:pPr>
    </w:p>
    <w:p>
      <w:pPr>
        <w:adjustRightInd w:val="0"/>
        <w:snapToGrid w:val="0"/>
        <w:ind w:firstLine="643" w:firstLineChars="200"/>
        <w:rPr>
          <w:rFonts w:ascii="Times New Roman" w:hAnsi="Times New Roman" w:eastAsia="楷体_GB2312" w:cs="Times New Roman"/>
          <w:sz w:val="28"/>
          <w:szCs w:val="24"/>
        </w:rPr>
      </w:pPr>
      <w:r>
        <w:rPr>
          <w:rFonts w:ascii="Times New Roman" w:hAnsi="Times New Roman" w:eastAsia="黑体" w:cs="Times New Roman"/>
          <w:b/>
          <w:sz w:val="32"/>
          <w:szCs w:val="24"/>
        </w:rPr>
        <w:t>四、学科发展与人才培养</w:t>
      </w: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1、学科发展</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8302" w:type="dxa"/>
            <w:vAlign w:val="top"/>
          </w:tcPr>
          <w:p>
            <w:pPr>
              <w:adjustRightInd w:val="0"/>
              <w:snapToGrid w:val="0"/>
              <w:spacing w:beforeLines="20"/>
              <w:ind w:firstLine="480" w:firstLineChars="20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简述实验室所依托学科的年度发展情况，包括科学研究对学科建设的支撑作用，以及推动学科交叉与新兴学科建设的情况。</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本实验室依托南开大学环境科学与工程学院建设，南开大学环境科学与工程学科是国家一级博士学位授权点及生态学一级学科授权点，环境科学国家重点学科。</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本重点实验室是南开大学环境科学与工程一级学科，特别是国家环境科学重点学科的支柱科学研究平台，对学科发展起到了重要的支撑作用。同时，本实验室还为生态学这一新兴一级学科的发展起到了推动作用。</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实验室制定了一些重要举措加速青年人才快速成长、脱颖而出，给三位青年教师展思辉、汪磊和张承东每人支持10万元科研经费，其中两人于当年（2017年）获得国家优青资助。实验室从人才队伍上为学院的学科发展起到重要的支撑作用。本实验室有3位教育部长江学者特聘教授、5位国家杰出青年基金获得者，4位优秀青年基金获得者（2017年新增3位优青），1位国家青千，几乎覆盖了学院所有高层次人才。</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从科研项目上为学科发展做出重要贡献，本实验室年度科研经费2383万元，是学院科研经费总量的一半，包括</w:t>
            </w:r>
            <w:r>
              <w:rPr>
                <w:rFonts w:hint="eastAsia" w:ascii="Times New Roman" w:hAnsi="Times New Roman" w:eastAsia="宋体" w:cs="微软雅黑"/>
                <w:sz w:val="24"/>
                <w:szCs w:val="24"/>
              </w:rPr>
              <w:t>国家重大科技专项，国家重点研发计划课题，</w:t>
            </w:r>
            <w:r>
              <w:rPr>
                <w:rFonts w:hint="eastAsia" w:ascii="宋体" w:hAnsi="宋体" w:eastAsia="宋体" w:cs="Times New Roman"/>
                <w:sz w:val="24"/>
                <w:szCs w:val="24"/>
              </w:rPr>
              <w:t>6个在研的国家杰出青年基金和优秀青年基金及多个863课题，在重大项目上对学科建设做出重要贡献。</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从科研成果上，实验室发表科研论文</w:t>
            </w:r>
            <w:r>
              <w:rPr>
                <w:rFonts w:ascii="宋体" w:hAnsi="宋体" w:eastAsia="宋体" w:cs="Times New Roman"/>
                <w:sz w:val="24"/>
                <w:szCs w:val="24"/>
              </w:rPr>
              <w:t>114</w:t>
            </w:r>
            <w:r>
              <w:rPr>
                <w:rFonts w:hint="eastAsia" w:ascii="宋体" w:hAnsi="宋体" w:eastAsia="宋体" w:cs="Times New Roman"/>
                <w:sz w:val="24"/>
                <w:szCs w:val="24"/>
              </w:rPr>
              <w:t>篇，其中SCI摘引</w:t>
            </w:r>
            <w:r>
              <w:rPr>
                <w:rFonts w:ascii="宋体" w:hAnsi="宋体" w:eastAsia="宋体" w:cs="Times New Roman"/>
                <w:sz w:val="24"/>
                <w:szCs w:val="24"/>
              </w:rPr>
              <w:t>93</w:t>
            </w:r>
            <w:r>
              <w:rPr>
                <w:rFonts w:hint="eastAsia" w:ascii="宋体" w:hAnsi="宋体" w:eastAsia="宋体" w:cs="Times New Roman"/>
                <w:sz w:val="24"/>
                <w:szCs w:val="24"/>
              </w:rPr>
              <w:t>篇，领域顶级期刊绝大多数都是来自本实验室，为引领学院整个学科的论文水平做出了重要贡献。</w:t>
            </w:r>
          </w:p>
          <w:p>
            <w:pPr>
              <w:adjustRightInd w:val="0"/>
              <w:snapToGrid w:val="0"/>
              <w:spacing w:beforeLines="20"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从国际交流上，在实验室前任主任孙红文教授领衔成功申报了111学科创新引智基地基础上，今年周启星教授、徐鹤教授又成功获批了“新型污染物暴露组学国际联合研究中心”以及“环境修复与可持续发展国际联合研究中心”两个国合基地。</w:t>
            </w:r>
            <w:r>
              <w:rPr>
                <w:rFonts w:hint="eastAsia" w:ascii="宋体" w:hAnsi="宋体" w:eastAsia="宋体" w:cs="微软雅黑"/>
                <w:color w:val="000000"/>
                <w:sz w:val="24"/>
                <w:szCs w:val="24"/>
              </w:rPr>
              <w:t>对提升科技创新创业平台国际化水平、</w:t>
            </w:r>
            <w:r>
              <w:rPr>
                <w:rFonts w:ascii="宋体" w:hAnsi="宋体" w:eastAsia="宋体" w:cs="微软雅黑"/>
                <w:color w:val="000000"/>
                <w:sz w:val="24"/>
                <w:szCs w:val="24"/>
              </w:rPr>
              <w:t>构筑国际高端研发资源聚集高地</w:t>
            </w:r>
            <w:r>
              <w:rPr>
                <w:rFonts w:hint="eastAsia" w:ascii="宋体" w:hAnsi="宋体" w:eastAsia="宋体" w:cs="微软雅黑"/>
                <w:color w:val="000000"/>
                <w:sz w:val="24"/>
                <w:szCs w:val="24"/>
              </w:rPr>
              <w:t>、</w:t>
            </w:r>
            <w:r>
              <w:rPr>
                <w:rFonts w:ascii="宋体" w:hAnsi="宋体" w:eastAsia="宋体" w:cs="微软雅黑"/>
                <w:color w:val="000000"/>
                <w:sz w:val="24"/>
                <w:szCs w:val="24"/>
              </w:rPr>
              <w:t>推进“一带一路”科技创新合作</w:t>
            </w:r>
            <w:r>
              <w:rPr>
                <w:rFonts w:hint="eastAsia" w:ascii="宋体" w:hAnsi="宋体" w:eastAsia="宋体" w:cs="微软雅黑"/>
                <w:color w:val="000000"/>
                <w:sz w:val="24"/>
                <w:szCs w:val="24"/>
              </w:rPr>
              <w:t>、开展</w:t>
            </w:r>
            <w:r>
              <w:rPr>
                <w:rFonts w:ascii="宋体" w:hAnsi="宋体" w:eastAsia="宋体" w:cs="微软雅黑"/>
                <w:color w:val="000000"/>
                <w:sz w:val="24"/>
                <w:szCs w:val="24"/>
              </w:rPr>
              <w:t>国际科技交流、跨国技术合作、承接国际技术转移、聚集全球创新要素</w:t>
            </w:r>
            <w:r>
              <w:rPr>
                <w:rFonts w:hint="eastAsia" w:ascii="宋体" w:hAnsi="宋体" w:eastAsia="宋体" w:cs="微软雅黑"/>
                <w:color w:val="000000"/>
                <w:sz w:val="24"/>
                <w:szCs w:val="24"/>
              </w:rPr>
              <w:t>等方面发挥重要的</w:t>
            </w:r>
            <w:r>
              <w:rPr>
                <w:rFonts w:ascii="宋体" w:hAnsi="宋体" w:eastAsia="宋体" w:cs="微软雅黑"/>
                <w:color w:val="000000"/>
                <w:sz w:val="24"/>
                <w:szCs w:val="24"/>
              </w:rPr>
              <w:t>平台载体作用</w:t>
            </w:r>
            <w:r>
              <w:rPr>
                <w:rFonts w:hint="eastAsia" w:ascii="宋体" w:hAnsi="宋体" w:eastAsia="宋体" w:cs="微软雅黑"/>
                <w:color w:val="000000"/>
                <w:sz w:val="24"/>
                <w:szCs w:val="24"/>
              </w:rPr>
              <w:t>。</w:t>
            </w:r>
          </w:p>
          <w:p>
            <w:pPr>
              <w:adjustRightInd w:val="0"/>
              <w:snapToGrid w:val="0"/>
              <w:spacing w:beforeLines="20" w:line="400" w:lineRule="exact"/>
              <w:ind w:firstLine="480" w:firstLineChars="200"/>
              <w:jc w:val="left"/>
              <w:rPr>
                <w:rFonts w:ascii="宋体" w:hAnsi="宋体" w:eastAsia="宋体" w:cs="Times New Roman"/>
                <w:b/>
                <w:sz w:val="28"/>
                <w:szCs w:val="24"/>
              </w:rPr>
            </w:pPr>
            <w:r>
              <w:rPr>
                <w:rFonts w:hint="eastAsia" w:ascii="宋体" w:hAnsi="宋体" w:eastAsia="宋体" w:cs="Times New Roman"/>
                <w:sz w:val="24"/>
                <w:szCs w:val="24"/>
              </w:rPr>
              <w:t>从人才培养上，本实验室成员承担本科生课程30门，其中包括环境化学国家级精品课，每年指导本科生课外科技创新活动</w:t>
            </w:r>
            <w:r>
              <w:rPr>
                <w:rFonts w:ascii="宋体" w:hAnsi="宋体" w:eastAsia="宋体" w:cs="Times New Roman"/>
                <w:sz w:val="24"/>
                <w:szCs w:val="24"/>
              </w:rPr>
              <w:t>10</w:t>
            </w:r>
            <w:r>
              <w:rPr>
                <w:rFonts w:hint="eastAsia" w:ascii="宋体" w:hAnsi="宋体" w:eastAsia="宋体" w:cs="Times New Roman"/>
                <w:sz w:val="24"/>
                <w:szCs w:val="24"/>
              </w:rPr>
              <w:t>余项，努力承担高等学校教师教书育人的双重职责，将优秀的科研成果反哺教学主战场。</w:t>
            </w:r>
          </w:p>
        </w:tc>
      </w:tr>
    </w:tbl>
    <w:p>
      <w:pPr>
        <w:adjustRightInd w:val="0"/>
        <w:snapToGrid w:val="0"/>
        <w:spacing w:line="360" w:lineRule="auto"/>
        <w:rPr>
          <w:rFonts w:ascii="Times New Roman" w:hAnsi="Times New Roman" w:eastAsia="黑体" w:cs="Times New Roman"/>
          <w:b/>
          <w:sz w:val="28"/>
          <w:szCs w:val="24"/>
        </w:rPr>
      </w:pPr>
    </w:p>
    <w:p>
      <w:pPr>
        <w:adjustRightInd w:val="0"/>
        <w:snapToGrid w:val="0"/>
        <w:ind w:firstLine="562" w:firstLineChars="200"/>
        <w:rPr>
          <w:rFonts w:ascii="Times New Roman" w:hAnsi="Times New Roman" w:eastAsia="黑体" w:cs="Times New Roman"/>
          <w:b/>
          <w:sz w:val="28"/>
          <w:szCs w:val="24"/>
          <w:highlight w:val="yellow"/>
        </w:rPr>
      </w:pPr>
      <w:r>
        <w:rPr>
          <w:rFonts w:ascii="Times New Roman" w:hAnsi="Times New Roman" w:eastAsia="黑体" w:cs="Times New Roman"/>
          <w:b/>
          <w:sz w:val="28"/>
          <w:szCs w:val="24"/>
        </w:rPr>
        <w:t>2、科教融合推动教学发展</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302" w:type="dxa"/>
            <w:vAlign w:val="top"/>
          </w:tcPr>
          <w:p>
            <w:pPr>
              <w:adjustRightInd w:val="0"/>
              <w:snapToGrid w:val="0"/>
              <w:spacing w:beforeLines="20"/>
              <w:ind w:firstLine="480" w:firstLineChars="20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pPr>
              <w:pStyle w:val="3"/>
              <w:spacing w:beforeLines="50"/>
              <w:ind w:firstLine="480" w:firstLineChars="200"/>
              <w:rPr>
                <w:rFonts w:ascii="Times New Roman" w:hAnsi="Times New Roman" w:eastAsia="宋体"/>
                <w:sz w:val="24"/>
                <w:szCs w:val="24"/>
              </w:rPr>
            </w:pPr>
            <w:r>
              <w:rPr>
                <w:rFonts w:hint="eastAsia" w:ascii="Times New Roman" w:hAnsi="Times New Roman" w:eastAsia="宋体"/>
                <w:sz w:val="24"/>
                <w:szCs w:val="24"/>
              </w:rPr>
              <w:t>本年度重点实验室成员共开设本科生课程30门，累计64学分，1235学时，包括</w:t>
            </w:r>
            <w:r>
              <w:rPr>
                <w:rFonts w:ascii="Times New Roman" w:hAnsi="Times New Roman" w:eastAsia="宋体"/>
                <w:sz w:val="24"/>
                <w:szCs w:val="24"/>
              </w:rPr>
              <w:t>国家级精品资源共享课，环境化学。</w:t>
            </w:r>
          </w:p>
          <w:p>
            <w:pPr>
              <w:pStyle w:val="3"/>
              <w:spacing w:line="400" w:lineRule="exact"/>
              <w:rPr>
                <w:rFonts w:ascii="Times New Roman" w:hAnsi="Times New Roman" w:eastAsia="宋体"/>
                <w:b/>
                <w:sz w:val="24"/>
                <w:szCs w:val="24"/>
              </w:rPr>
            </w:pPr>
            <w:r>
              <w:rPr>
                <w:rFonts w:hint="eastAsia" w:ascii="Times New Roman" w:hAnsi="Times New Roman" w:eastAsia="宋体"/>
                <w:b/>
                <w:sz w:val="24"/>
                <w:szCs w:val="24"/>
              </w:rPr>
              <w:t>教材编写</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周启星 主编</w:t>
            </w:r>
            <w:r>
              <w:rPr>
                <w:rFonts w:ascii="Times New Roman" w:hAnsi="Times New Roman" w:eastAsia="宋体"/>
                <w:sz w:val="24"/>
                <w:szCs w:val="24"/>
              </w:rPr>
              <w:tab/>
            </w:r>
            <w:r>
              <w:rPr>
                <w:rFonts w:ascii="Times New Roman" w:hAnsi="Times New Roman" w:eastAsia="宋体"/>
                <w:sz w:val="24"/>
                <w:szCs w:val="24"/>
              </w:rPr>
              <w:t>《生态地学》，科学出版社，2017.9</w:t>
            </w:r>
            <w:r>
              <w:rPr>
                <w:rFonts w:ascii="Times New Roman" w:hAnsi="Times New Roman" w:eastAsia="宋体"/>
                <w:sz w:val="24"/>
                <w:szCs w:val="24"/>
              </w:rPr>
              <w:tab/>
            </w:r>
            <w:r>
              <w:rPr>
                <w:rFonts w:ascii="Times New Roman" w:hAnsi="Times New Roman" w:eastAsia="宋体"/>
                <w:sz w:val="24"/>
                <w:szCs w:val="24"/>
              </w:rPr>
              <w:t>入选国家级规划教材</w:t>
            </w:r>
            <w:r>
              <w:rPr>
                <w:rFonts w:hint="eastAsia" w:ascii="Times New Roman" w:hAnsi="Times New Roman" w:eastAsia="宋体"/>
                <w:sz w:val="24"/>
                <w:szCs w:val="24"/>
              </w:rPr>
              <w:t>。</w:t>
            </w:r>
          </w:p>
          <w:p>
            <w:pPr>
              <w:pStyle w:val="3"/>
              <w:spacing w:line="400" w:lineRule="exact"/>
              <w:rPr>
                <w:rFonts w:ascii="Times New Roman" w:hAnsi="Times New Roman" w:eastAsia="宋体"/>
                <w:sz w:val="24"/>
                <w:szCs w:val="24"/>
              </w:rPr>
            </w:pPr>
          </w:p>
          <w:p>
            <w:pPr>
              <w:pStyle w:val="3"/>
              <w:spacing w:line="400" w:lineRule="exact"/>
              <w:rPr>
                <w:rFonts w:ascii="Times New Roman" w:hAnsi="Times New Roman" w:eastAsia="宋体"/>
                <w:b/>
                <w:sz w:val="24"/>
                <w:szCs w:val="24"/>
              </w:rPr>
            </w:pPr>
            <w:r>
              <w:rPr>
                <w:rFonts w:hint="eastAsia" w:ascii="Times New Roman" w:hAnsi="Times New Roman" w:eastAsia="宋体"/>
                <w:b/>
                <w:sz w:val="24"/>
                <w:szCs w:val="24"/>
              </w:rPr>
              <w:t>教改项目</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多位老师承担南开大学校级教改项目，</w:t>
            </w:r>
            <w:r>
              <w:rPr>
                <w:rFonts w:ascii="Times New Roman" w:hAnsi="Times New Roman" w:eastAsia="宋体"/>
                <w:sz w:val="24"/>
                <w:szCs w:val="24"/>
              </w:rPr>
              <w:t>分别为</w:t>
            </w:r>
            <w:r>
              <w:rPr>
                <w:rFonts w:hint="eastAsia" w:ascii="Times New Roman" w:hAnsi="Times New Roman" w:eastAsia="宋体"/>
                <w:sz w:val="24"/>
                <w:szCs w:val="24"/>
              </w:rPr>
              <w:t>：</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汪  磊：《环境监测实验》“大班授课、小班讨论”</w:t>
            </w:r>
            <w:r>
              <w:rPr>
                <w:rFonts w:ascii="Times New Roman" w:hAnsi="Times New Roman" w:eastAsia="宋体"/>
                <w:sz w:val="24"/>
                <w:szCs w:val="24"/>
              </w:rPr>
              <w:t xml:space="preserve"> 教学模式改革</w:t>
            </w:r>
            <w:r>
              <w:rPr>
                <w:rFonts w:hint="eastAsia" w:ascii="Times New Roman" w:hAnsi="Times New Roman" w:eastAsia="宋体"/>
                <w:sz w:val="24"/>
                <w:szCs w:val="24"/>
              </w:rPr>
              <w:t>；</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马小东：大班授课、小班讨论教学模式在《环境安全》课程中的实施；</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王  薇：环境工程专业土建工程基础教学改革探索。</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单国强：环境科学与工程专业《生物化学》教学改革与实践。</w:t>
            </w:r>
          </w:p>
          <w:p>
            <w:pPr>
              <w:pStyle w:val="3"/>
              <w:spacing w:line="400" w:lineRule="exact"/>
              <w:rPr>
                <w:rFonts w:ascii="Times New Roman" w:hAnsi="Times New Roman" w:eastAsia="宋体"/>
                <w:sz w:val="24"/>
                <w:szCs w:val="24"/>
              </w:rPr>
            </w:pPr>
          </w:p>
          <w:p>
            <w:pPr>
              <w:pStyle w:val="3"/>
              <w:spacing w:line="400" w:lineRule="exact"/>
              <w:rPr>
                <w:rFonts w:ascii="Times New Roman" w:hAnsi="Times New Roman" w:eastAsia="宋体"/>
                <w:b/>
                <w:sz w:val="24"/>
                <w:szCs w:val="24"/>
              </w:rPr>
            </w:pPr>
            <w:r>
              <w:rPr>
                <w:rFonts w:hint="eastAsia" w:ascii="Times New Roman" w:hAnsi="Times New Roman" w:eastAsia="宋体"/>
                <w:b/>
                <w:sz w:val="24"/>
                <w:szCs w:val="24"/>
              </w:rPr>
              <w:t>教学成果</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胡献刚博士指导的本科生高越获得201</w:t>
            </w:r>
            <w:r>
              <w:rPr>
                <w:rFonts w:ascii="Times New Roman" w:hAnsi="Times New Roman" w:eastAsia="宋体"/>
                <w:sz w:val="24"/>
                <w:szCs w:val="24"/>
              </w:rPr>
              <w:t>7</w:t>
            </w:r>
            <w:r>
              <w:rPr>
                <w:rFonts w:hint="eastAsia" w:ascii="Times New Roman" w:hAnsi="Times New Roman" w:eastAsia="宋体"/>
                <w:sz w:val="24"/>
                <w:szCs w:val="24"/>
              </w:rPr>
              <w:t>年度南开大学本科优秀毕业论文；</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实验室13位成员指导本科生共获得国家创新项目立项7项、天津市创新项目2项、南开大学百项创新工程</w:t>
            </w:r>
            <w:r>
              <w:rPr>
                <w:rFonts w:ascii="Times New Roman" w:hAnsi="Times New Roman" w:eastAsia="宋体"/>
                <w:sz w:val="24"/>
                <w:szCs w:val="24"/>
              </w:rPr>
              <w:t>4</w:t>
            </w:r>
            <w:r>
              <w:rPr>
                <w:rFonts w:hint="eastAsia" w:ascii="Times New Roman" w:hAnsi="Times New Roman" w:eastAsia="宋体"/>
                <w:sz w:val="24"/>
                <w:szCs w:val="24"/>
              </w:rPr>
              <w:t>项；</w:t>
            </w:r>
          </w:p>
          <w:p>
            <w:pPr>
              <w:pStyle w:val="3"/>
              <w:spacing w:line="400" w:lineRule="exact"/>
              <w:rPr>
                <w:rFonts w:ascii="Times New Roman" w:hAnsi="Times New Roman" w:eastAsia="宋体"/>
                <w:sz w:val="24"/>
                <w:szCs w:val="24"/>
              </w:rPr>
            </w:pPr>
            <w:r>
              <w:rPr>
                <w:rFonts w:hint="eastAsia" w:ascii="Times New Roman" w:hAnsi="Times New Roman" w:eastAsia="宋体"/>
                <w:sz w:val="24"/>
                <w:szCs w:val="24"/>
              </w:rPr>
              <w:t>胡献刚、王鑫、罗义、鲁金凤指导的本科生创新项目分</w:t>
            </w:r>
            <w:r>
              <w:rPr>
                <w:rFonts w:ascii="Times New Roman" w:hAnsi="Times New Roman" w:eastAsia="宋体"/>
                <w:sz w:val="24"/>
                <w:szCs w:val="24"/>
              </w:rPr>
              <w:t>别</w:t>
            </w:r>
            <w:r>
              <w:rPr>
                <w:rFonts w:hint="eastAsia" w:ascii="Times New Roman" w:hAnsi="Times New Roman" w:eastAsia="宋体"/>
                <w:sz w:val="24"/>
                <w:szCs w:val="24"/>
              </w:rPr>
              <w:t>获得</w:t>
            </w:r>
            <w:r>
              <w:rPr>
                <w:rFonts w:ascii="Times New Roman" w:hAnsi="Times New Roman" w:eastAsia="宋体"/>
                <w:sz w:val="24"/>
                <w:szCs w:val="24"/>
              </w:rPr>
              <w:t>2016年南开大学本科生创新科研训练计划优秀项目特等和一</w:t>
            </w:r>
            <w:r>
              <w:rPr>
                <w:rFonts w:hint="eastAsia" w:ascii="Times New Roman" w:hAnsi="Times New Roman" w:eastAsia="宋体"/>
                <w:sz w:val="24"/>
                <w:szCs w:val="24"/>
              </w:rPr>
              <w:t>、</w:t>
            </w:r>
            <w:r>
              <w:rPr>
                <w:rFonts w:ascii="Times New Roman" w:hAnsi="Times New Roman" w:eastAsia="宋体"/>
                <w:sz w:val="24"/>
                <w:szCs w:val="24"/>
              </w:rPr>
              <w:t>二、三等奖</w:t>
            </w:r>
            <w:r>
              <w:rPr>
                <w:rFonts w:hint="eastAsia" w:ascii="Times New Roman" w:hAnsi="Times New Roman" w:eastAsia="宋体"/>
                <w:sz w:val="24"/>
                <w:szCs w:val="24"/>
              </w:rPr>
              <w:t>。</w:t>
            </w:r>
          </w:p>
          <w:p>
            <w:pPr>
              <w:pStyle w:val="3"/>
              <w:spacing w:line="400" w:lineRule="exact"/>
              <w:rPr>
                <w:rFonts w:ascii="宋体" w:hAnsi="宋体" w:eastAsia="宋体"/>
                <w:b/>
                <w:sz w:val="24"/>
                <w:szCs w:val="24"/>
              </w:rPr>
            </w:pPr>
            <w:r>
              <w:rPr>
                <w:rFonts w:hint="eastAsia" w:ascii="宋体" w:hAnsi="宋体" w:eastAsia="宋体"/>
                <w:b/>
                <w:sz w:val="24"/>
                <w:szCs w:val="24"/>
              </w:rPr>
              <w:t>教学资源转化</w:t>
            </w:r>
          </w:p>
          <w:p>
            <w:pPr>
              <w:adjustRightInd w:val="0"/>
              <w:snapToGrid w:val="0"/>
              <w:spacing w:line="400" w:lineRule="exact"/>
              <w:ind w:firstLine="480" w:firstLineChars="200"/>
              <w:jc w:val="left"/>
              <w:rPr>
                <w:rFonts w:ascii="宋体" w:hAnsi="宋体" w:eastAsia="宋体" w:cs="Times New Roman"/>
                <w:sz w:val="24"/>
                <w:szCs w:val="24"/>
              </w:rPr>
            </w:pPr>
            <w:r>
              <w:rPr>
                <w:rFonts w:hint="eastAsia" w:ascii="宋体" w:hAnsi="宋体" w:eastAsia="宋体"/>
                <w:sz w:val="24"/>
                <w:szCs w:val="24"/>
              </w:rPr>
              <w:t>通过与智慧树在线教育平台合作，孙红文、汪磊和马小东教授制作的《环境化学》慕课已经上线使用，收到学生的好评，并将继续向全国推广。</w:t>
            </w:r>
          </w:p>
        </w:tc>
      </w:tr>
    </w:tbl>
    <w:p>
      <w:pPr>
        <w:adjustRightInd w:val="0"/>
        <w:snapToGrid w:val="0"/>
        <w:spacing w:line="360" w:lineRule="auto"/>
        <w:rPr>
          <w:rFonts w:ascii="Times New Roman" w:hAnsi="Times New Roman" w:eastAsia="黑体" w:cs="Times New Roman"/>
          <w:b/>
          <w:sz w:val="28"/>
          <w:szCs w:val="24"/>
        </w:rPr>
      </w:pP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3、人才培养</w:t>
      </w: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（1）人才培养总体情况</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trPr>
        <w:tc>
          <w:tcPr>
            <w:tcW w:w="8302" w:type="dxa"/>
            <w:vAlign w:val="top"/>
          </w:tcPr>
          <w:p>
            <w:pPr>
              <w:adjustRightInd w:val="0"/>
              <w:snapToGrid w:val="0"/>
              <w:spacing w:beforeLines="20"/>
              <w:ind w:firstLine="480" w:firstLineChars="200"/>
              <w:jc w:val="left"/>
              <w:rPr>
                <w:rFonts w:ascii="宋体" w:hAnsi="宋体" w:eastAsia="宋体" w:cs="宋体"/>
                <w:sz w:val="24"/>
                <w:szCs w:val="24"/>
                <w:highlight w:val="yellow"/>
              </w:rPr>
            </w:pPr>
            <w:r>
              <w:rPr>
                <w:rFonts w:ascii="Times New Roman" w:hAnsi="Times New Roman" w:eastAsia="楷体_GB2312" w:cs="Times New Roman"/>
                <w:sz w:val="24"/>
                <w:szCs w:val="24"/>
              </w:rPr>
              <w:t>简述实验室人才培养的代表性举措和效果，包括跨学科、跨院系的人才交流和培养，与国内、国际科研机构或企业联合培养创新人才等。</w:t>
            </w:r>
          </w:p>
          <w:p>
            <w:pPr>
              <w:adjustRightInd w:val="0"/>
              <w:snapToGrid w:val="0"/>
              <w:spacing w:line="4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在重点实验室的第一届主任（周启星）和第二届主任（孙红文）的带领和指引下，通过完善青年人才发展和提升配套支撑政策，促进创新型青年人才的快速成长，激发青年人才的锐意进取、开拓创新活力， 重点实验室的青年骨干成员汪磊教授和胡献刚副教授分别获得国家自然科学基金优秀青年基金资助，同时胡献刚副教授于2017年入选南开大学百名青年学科带头人培养计划。为进一步激发科研第一战线的青年教师和研究生活力，促进多学科、全方位交流，在汪磊教授等教师的带动下，举办了环境科学与工程学院第一届青年教师与研究生学术交流会，邀请了严纯华院士、朱永法教授讲述了青年科技人才成长、基金撰写等，并开展优秀博士生墙报的评比活动。</w:t>
            </w:r>
          </w:p>
          <w:p>
            <w:pPr>
              <w:adjustRightInd w:val="0"/>
              <w:snapToGrid w:val="0"/>
              <w:spacing w:line="400" w:lineRule="exact"/>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针对当前环境污染与健康的研究趋势</w:t>
            </w:r>
            <w:r>
              <w:rPr>
                <w:rFonts w:hint="eastAsia" w:ascii="宋体" w:hAnsi="宋体" w:eastAsia="宋体" w:cs="宋体"/>
                <w:color w:val="000000"/>
                <w:sz w:val="24"/>
                <w:szCs w:val="24"/>
              </w:rPr>
              <w:t>，</w:t>
            </w:r>
            <w:r>
              <w:rPr>
                <w:rFonts w:ascii="宋体" w:hAnsi="宋体" w:eastAsia="宋体" w:cs="宋体"/>
                <w:color w:val="000000"/>
                <w:sz w:val="24"/>
                <w:szCs w:val="24"/>
              </w:rPr>
              <w:t>为促进多学科的国际交流</w:t>
            </w:r>
            <w:r>
              <w:rPr>
                <w:rFonts w:hint="eastAsia" w:ascii="宋体" w:hAnsi="宋体" w:eastAsia="宋体" w:cs="宋体"/>
                <w:color w:val="000000"/>
                <w:sz w:val="24"/>
                <w:szCs w:val="24"/>
              </w:rPr>
              <w:t>，以国家111引智基地（新型污染物环境过程与风险评估学科创新引智基地）为基础，于2017年5月23-27日主办并召开了“</w:t>
            </w:r>
            <w:r>
              <w:rPr>
                <w:rFonts w:ascii="宋体" w:hAnsi="宋体" w:eastAsia="宋体" w:cs="宋体"/>
                <w:color w:val="000000"/>
                <w:sz w:val="24"/>
                <w:szCs w:val="24"/>
              </w:rPr>
              <w:t>International Symposium on Emerging Contaminants and Environmental Nanotechnology</w:t>
            </w:r>
            <w:r>
              <w:rPr>
                <w:rFonts w:hint="eastAsia" w:ascii="宋体" w:hAnsi="宋体" w:eastAsia="宋体" w:cs="宋体"/>
                <w:color w:val="000000"/>
                <w:sz w:val="24"/>
                <w:szCs w:val="24"/>
              </w:rPr>
              <w:t>”，邀请了国内外学者</w:t>
            </w:r>
            <w:r>
              <w:rPr>
                <w:rFonts w:ascii="宋体" w:hAnsi="宋体" w:eastAsia="宋体" w:cs="宋体"/>
                <w:color w:val="000000"/>
                <w:sz w:val="24"/>
                <w:szCs w:val="24"/>
              </w:rPr>
              <w:t>Kurunthachalam Kannan</w:t>
            </w:r>
            <w:r>
              <w:rPr>
                <w:rFonts w:hint="eastAsia" w:ascii="宋体" w:hAnsi="宋体" w:eastAsia="宋体" w:cs="宋体"/>
                <w:color w:val="000000"/>
                <w:sz w:val="24"/>
                <w:szCs w:val="24"/>
              </w:rPr>
              <w:t>、</w:t>
            </w:r>
            <w:r>
              <w:rPr>
                <w:rFonts w:ascii="宋体" w:hAnsi="宋体" w:eastAsia="宋体" w:cs="宋体"/>
                <w:color w:val="000000"/>
                <w:sz w:val="24"/>
                <w:szCs w:val="24"/>
              </w:rPr>
              <w:t>Walter Giger</w:t>
            </w:r>
            <w:r>
              <w:rPr>
                <w:rFonts w:hint="eastAsia" w:ascii="宋体" w:hAnsi="宋体" w:eastAsia="宋体" w:cs="宋体"/>
                <w:color w:val="000000"/>
                <w:sz w:val="24"/>
                <w:szCs w:val="24"/>
              </w:rPr>
              <w:t>、</w:t>
            </w:r>
            <w:r>
              <w:rPr>
                <w:rFonts w:ascii="宋体" w:hAnsi="宋体" w:eastAsia="宋体" w:cs="宋体"/>
                <w:color w:val="000000"/>
                <w:sz w:val="24"/>
                <w:szCs w:val="24"/>
              </w:rPr>
              <w:t>Greg G. Goss</w:t>
            </w:r>
            <w:r>
              <w:rPr>
                <w:rFonts w:hint="eastAsia" w:ascii="宋体" w:hAnsi="宋体" w:eastAsia="宋体" w:cs="宋体"/>
                <w:color w:val="000000"/>
                <w:sz w:val="24"/>
                <w:szCs w:val="24"/>
              </w:rPr>
              <w:t>、</w:t>
            </w:r>
            <w:r>
              <w:rPr>
                <w:rFonts w:ascii="宋体" w:hAnsi="宋体" w:eastAsia="宋体" w:cs="宋体"/>
                <w:color w:val="000000"/>
                <w:sz w:val="24"/>
                <w:szCs w:val="24"/>
              </w:rPr>
              <w:t>Ander Wilson</w:t>
            </w:r>
            <w:r>
              <w:rPr>
                <w:rFonts w:hint="eastAsia" w:ascii="宋体" w:hAnsi="宋体" w:eastAsia="宋体" w:cs="宋体"/>
                <w:color w:val="000000"/>
                <w:sz w:val="24"/>
                <w:szCs w:val="24"/>
              </w:rPr>
              <w:t>、</w:t>
            </w:r>
            <w:r>
              <w:rPr>
                <w:rFonts w:ascii="宋体" w:hAnsi="宋体" w:eastAsia="宋体" w:cs="宋体"/>
                <w:color w:val="000000"/>
                <w:sz w:val="24"/>
                <w:szCs w:val="24"/>
              </w:rPr>
              <w:t>Alfredo C. Alder</w:t>
            </w:r>
            <w:r>
              <w:rPr>
                <w:rFonts w:hint="eastAsia" w:ascii="宋体" w:hAnsi="宋体" w:eastAsia="宋体" w:cs="宋体"/>
                <w:color w:val="000000"/>
                <w:sz w:val="24"/>
                <w:szCs w:val="24"/>
              </w:rPr>
              <w:t>等做了26场精彩报告，会后就</w:t>
            </w:r>
            <w:r>
              <w:rPr>
                <w:rFonts w:ascii="宋体" w:hAnsi="宋体" w:eastAsia="宋体" w:cs="宋体"/>
                <w:color w:val="000000"/>
                <w:sz w:val="24"/>
                <w:szCs w:val="24"/>
              </w:rPr>
              <w:t>111引智基地</w:t>
            </w:r>
            <w:r>
              <w:rPr>
                <w:rFonts w:hint="eastAsia" w:ascii="宋体" w:hAnsi="宋体" w:eastAsia="宋体" w:cs="宋体"/>
                <w:color w:val="000000"/>
                <w:sz w:val="24"/>
                <w:szCs w:val="24"/>
              </w:rPr>
              <w:t>的发展、未来国际化人才的人才的培养及学生的联合培养等事宜进行了深入交流，达成了初步共识。</w:t>
            </w:r>
          </w:p>
          <w:p>
            <w:pPr>
              <w:adjustRightInd w:val="0"/>
              <w:snapToGrid w:val="0"/>
              <w:spacing w:line="4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为我国教育国际化战略服务，积极开拓学生的国际化视野，南开大学、英国格拉斯哥大学两所大学强强联手，学科优势互补，共同办学，</w:t>
            </w:r>
            <w:r>
              <w:rPr>
                <w:rFonts w:ascii="宋体" w:hAnsi="宋体" w:eastAsia="宋体" w:cs="宋体"/>
                <w:color w:val="000000"/>
                <w:sz w:val="24"/>
                <w:szCs w:val="24"/>
              </w:rPr>
              <w:t>这些学生接受由格拉斯哥大学及重点实验室教师共同承担的全英文课程，考核合格后将同时获得南开大学和英国格拉斯哥大学的学位证书。</w:t>
            </w:r>
            <w:r>
              <w:rPr>
                <w:rFonts w:hint="eastAsia" w:ascii="宋体" w:hAnsi="宋体" w:eastAsia="宋体" w:cs="宋体"/>
                <w:color w:val="000000"/>
                <w:sz w:val="24"/>
                <w:szCs w:val="24"/>
              </w:rPr>
              <w:t>此外，澳大利亚格里菲斯大学</w:t>
            </w:r>
            <w:r>
              <w:rPr>
                <w:rFonts w:ascii="宋体" w:hAnsi="宋体" w:eastAsia="宋体" w:cs="宋体"/>
                <w:color w:val="000000"/>
                <w:sz w:val="24"/>
                <w:szCs w:val="24"/>
              </w:rPr>
              <w:t>(Griffith University)副校长内德•潘克赫斯特(Ned Pankhurst)</w:t>
            </w:r>
            <w:r>
              <w:rPr>
                <w:rFonts w:hint="eastAsia" w:ascii="宋体" w:hAnsi="宋体" w:eastAsia="宋体" w:cs="宋体"/>
                <w:color w:val="000000"/>
                <w:sz w:val="24"/>
                <w:szCs w:val="24"/>
              </w:rPr>
              <w:t>等</w:t>
            </w:r>
            <w:r>
              <w:rPr>
                <w:rFonts w:ascii="宋体" w:hAnsi="宋体" w:eastAsia="宋体" w:cs="宋体"/>
                <w:color w:val="000000"/>
                <w:sz w:val="24"/>
                <w:szCs w:val="24"/>
              </w:rPr>
              <w:t>访问我校，在学校和学院的领导的积极推动下，签署了两校联合办学 “3+1+1”项目合作协议。2017年7月10日至7月12日，我院成功举办了第二届南开大学环境科学与工程学院环境科学夏令营</w:t>
            </w:r>
            <w:r>
              <w:rPr>
                <w:rFonts w:hint="eastAsia" w:ascii="宋体" w:hAnsi="宋体" w:eastAsia="宋体" w:cs="宋体"/>
                <w:color w:val="000000"/>
                <w:sz w:val="24"/>
                <w:szCs w:val="24"/>
              </w:rPr>
              <w:t>，</w:t>
            </w:r>
            <w:r>
              <w:rPr>
                <w:rFonts w:ascii="宋体" w:hAnsi="宋体" w:eastAsia="宋体" w:cs="宋体"/>
                <w:color w:val="000000"/>
                <w:sz w:val="24"/>
                <w:szCs w:val="24"/>
              </w:rPr>
              <w:t>招收保送研究生</w:t>
            </w:r>
            <w:r>
              <w:rPr>
                <w:rFonts w:hint="eastAsia" w:ascii="宋体" w:hAnsi="宋体" w:eastAsia="宋体" w:cs="宋体"/>
                <w:color w:val="000000"/>
                <w:sz w:val="24"/>
                <w:szCs w:val="24"/>
              </w:rPr>
              <w:t>70%以上为211（985）学校学生，为我院后备人才发展奠定了基础。2017年教育部重点实验室内部的博士生，出国联合培养8名，分布前往多伦多大学、佐治亚理工学院、巴塞罗那大学、巴黎东部马恩</w:t>
            </w:r>
            <w:r>
              <w:rPr>
                <w:rFonts w:ascii="宋体" w:hAnsi="宋体" w:eastAsia="宋体" w:cs="宋体"/>
                <w:color w:val="000000"/>
                <w:sz w:val="24"/>
                <w:szCs w:val="24"/>
              </w:rPr>
              <w:t>-拉瓦雷大学等高校进行</w:t>
            </w:r>
            <w:r>
              <w:rPr>
                <w:rFonts w:hint="eastAsia" w:ascii="宋体" w:hAnsi="宋体" w:eastAsia="宋体" w:cs="宋体"/>
                <w:color w:val="000000"/>
                <w:sz w:val="24"/>
                <w:szCs w:val="24"/>
              </w:rPr>
              <w:t>联合培养，另有一名学生到丹麦技术大学攻读博士学位。</w:t>
            </w:r>
          </w:p>
          <w:p>
            <w:pPr>
              <w:adjustRightInd w:val="0"/>
              <w:snapToGrid w:val="0"/>
              <w:spacing w:line="4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积极提高学生的实践和实战能力，聘请来自中国市政规划设计研究院、中国市政工程华北设计研究总院有限公司、天津市仁爱集团有限公司、农业部环境保护科研监测所等校外科研单位、企业的研究员、高级工程师等为2016-2018年度专业硕士的校外导师，突出产学研协同模式培养专业硕士的特色。</w:t>
            </w:r>
          </w:p>
          <w:p>
            <w:pPr>
              <w:adjustRightInd w:val="0"/>
              <w:snapToGrid w:val="0"/>
              <w:spacing w:line="4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重点实验重视优秀本科生科研能力培养，在胡献刚副教授指导下，本科生高越，获得南开大学国家级大学生创新项目特等奖，并获得天津市优秀本科毕业论文，另有一名本科生创新成果入选第十届全国大学生创新创业年会项目。2017年，据不完全统计，除了邀请美国、加拿大、爱尔兰、澳大利亚等学者交流外，也邀请了国内知名学者包括郝吉明院士、全燮教授、陆雅海教授、应光国教授以及王格慧教授做精彩的学术报告。</w:t>
            </w:r>
          </w:p>
        </w:tc>
      </w:tr>
    </w:tbl>
    <w:p>
      <w:pPr>
        <w:adjustRightInd w:val="0"/>
        <w:snapToGrid w:val="0"/>
        <w:spacing w:line="360" w:lineRule="auto"/>
        <w:ind w:firstLine="562" w:firstLineChars="200"/>
        <w:rPr>
          <w:rFonts w:ascii="Times New Roman" w:hAnsi="Times New Roman" w:eastAsia="黑体" w:cs="Times New Roman"/>
          <w:b/>
          <w:sz w:val="28"/>
          <w:szCs w:val="24"/>
        </w:rPr>
      </w:pP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（2）研究生代表性成果（列举不超过3项）</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8302" w:type="dxa"/>
            <w:vAlign w:val="top"/>
          </w:tcPr>
          <w:p>
            <w:pPr>
              <w:adjustRightInd w:val="0"/>
              <w:snapToGrid w:val="0"/>
              <w:spacing w:beforeLines="20"/>
              <w:ind w:firstLine="480" w:firstLineChars="20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简述研究生在实验室平台的锻炼中，取得的代表性科研成果，包括高水平论文发表、国际学术会议大会发言、挑战杯获奖、国际竞赛获奖等。</w:t>
            </w:r>
          </w:p>
          <w:p>
            <w:pPr>
              <w:adjustRightInd w:val="0"/>
              <w:snapToGrid w:val="0"/>
              <w:spacing w:beforeLines="20"/>
              <w:ind w:firstLine="480" w:firstLineChars="200"/>
              <w:jc w:val="left"/>
              <w:rPr>
                <w:rFonts w:ascii="Times New Roman" w:hAnsi="Times New Roman" w:eastAsia="宋体" w:cs="宋体"/>
                <w:bCs/>
                <w:color w:val="000000"/>
                <w:sz w:val="24"/>
                <w:szCs w:val="24"/>
                <w:shd w:val="clear" w:color="auto" w:fill="FFFFFF"/>
              </w:rPr>
            </w:pPr>
            <w:r>
              <w:rPr>
                <w:rFonts w:hint="eastAsia" w:ascii="Times New Roman" w:hAnsi="Times New Roman" w:eastAsia="宋体" w:cs="宋体"/>
                <w:bCs/>
                <w:color w:val="000000"/>
                <w:sz w:val="24"/>
                <w:szCs w:val="24"/>
                <w:shd w:val="clear" w:color="auto" w:fill="FFFFFF"/>
              </w:rPr>
              <w:t>研究生取得的代表性科研成果如下：</w:t>
            </w:r>
          </w:p>
          <w:p>
            <w:pPr>
              <w:adjustRightInd w:val="0"/>
              <w:snapToGrid w:val="0"/>
              <w:spacing w:beforeLines="20" w:line="400" w:lineRule="exact"/>
              <w:ind w:firstLine="482" w:firstLineChars="200"/>
              <w:jc w:val="left"/>
              <w:rPr>
                <w:rFonts w:ascii="Times New Roman" w:hAnsi="Times New Roman" w:eastAsia="宋体" w:cs="宋体"/>
                <w:color w:val="000000"/>
                <w:sz w:val="24"/>
                <w:szCs w:val="24"/>
                <w:shd w:val="clear" w:color="auto" w:fill="FFFFFF"/>
              </w:rPr>
            </w:pPr>
            <w:r>
              <w:rPr>
                <w:rFonts w:hint="eastAsia" w:ascii="Times New Roman" w:hAnsi="Times New Roman" w:eastAsia="宋体" w:cs="宋体"/>
                <w:b/>
                <w:color w:val="000000"/>
                <w:sz w:val="24"/>
                <w:szCs w:val="24"/>
                <w:shd w:val="clear" w:color="auto" w:fill="FFFFFF"/>
              </w:rPr>
              <w:t>邹威</w:t>
            </w:r>
            <w:r>
              <w:rPr>
                <w:rFonts w:hint="eastAsia" w:ascii="Times New Roman" w:hAnsi="Times New Roman" w:eastAsia="宋体" w:cs="宋体"/>
                <w:color w:val="000000"/>
                <w:sz w:val="24"/>
                <w:szCs w:val="24"/>
                <w:shd w:val="clear" w:color="auto" w:fill="FFFFFF"/>
              </w:rPr>
              <w:t>：</w:t>
            </w:r>
            <w:r>
              <w:rPr>
                <w:rFonts w:ascii="Times New Roman" w:hAnsi="Times New Roman" w:eastAsia="宋体" w:cs="宋体"/>
                <w:color w:val="000000"/>
                <w:sz w:val="24"/>
                <w:szCs w:val="24"/>
                <w:shd w:val="clear" w:color="auto" w:fill="FFFFFF"/>
              </w:rPr>
              <w:t>2015-2018</w:t>
            </w:r>
            <w:r>
              <w:rPr>
                <w:rFonts w:hint="eastAsia" w:ascii="Times New Roman" w:hAnsi="Times New Roman" w:eastAsia="宋体" w:cs="宋体"/>
                <w:color w:val="000000"/>
                <w:sz w:val="24"/>
                <w:szCs w:val="24"/>
                <w:shd w:val="clear" w:color="auto" w:fill="FFFFFF"/>
              </w:rPr>
              <w:t>年在</w:t>
            </w:r>
            <w:r>
              <w:rPr>
                <w:rFonts w:ascii="Times New Roman" w:hAnsi="Times New Roman" w:eastAsia="宋体" w:cs="宋体"/>
                <w:b/>
                <w:color w:val="000000"/>
                <w:sz w:val="24"/>
                <w:szCs w:val="24"/>
                <w:shd w:val="clear" w:color="auto" w:fill="FFFFFF"/>
              </w:rPr>
              <w:t>周启星</w:t>
            </w:r>
            <w:r>
              <w:rPr>
                <w:rFonts w:hint="eastAsia" w:ascii="Times New Roman" w:hAnsi="Times New Roman" w:eastAsia="宋体" w:cs="宋体"/>
                <w:color w:val="000000"/>
                <w:sz w:val="24"/>
                <w:szCs w:val="24"/>
                <w:shd w:val="clear" w:color="auto" w:fill="FFFFFF"/>
              </w:rPr>
              <w:t>教授指导下攻读博士学位。他的研究发现氧化石墨烯（</w:t>
            </w:r>
            <w:r>
              <w:rPr>
                <w:rFonts w:ascii="Times New Roman" w:hAnsi="Times New Roman" w:eastAsia="宋体" w:cs="宋体"/>
                <w:color w:val="000000"/>
                <w:sz w:val="24"/>
                <w:szCs w:val="24"/>
                <w:shd w:val="clear" w:color="auto" w:fill="FFFFFF"/>
              </w:rPr>
              <w:t>GO</w:t>
            </w:r>
            <w:r>
              <w:rPr>
                <w:rFonts w:hint="eastAsia" w:ascii="Times New Roman" w:hAnsi="Times New Roman" w:eastAsia="宋体" w:cs="宋体"/>
                <w:color w:val="000000"/>
                <w:sz w:val="24"/>
                <w:szCs w:val="24"/>
                <w:shd w:val="clear" w:color="auto" w:fill="FFFFFF"/>
              </w:rPr>
              <w:t>）缓解抗生素对环境微生物的诱导压力，并有效抑制</w:t>
            </w:r>
            <w:r>
              <w:rPr>
                <w:rFonts w:ascii="Times New Roman" w:hAnsi="Times New Roman" w:eastAsia="宋体" w:cs="宋体"/>
                <w:color w:val="000000"/>
                <w:sz w:val="24"/>
                <w:szCs w:val="24"/>
                <w:shd w:val="clear" w:color="auto" w:fill="FFFFFF"/>
              </w:rPr>
              <w:t>I</w:t>
            </w:r>
            <w:r>
              <w:rPr>
                <w:rFonts w:hint="eastAsia" w:ascii="Times New Roman" w:hAnsi="Times New Roman" w:eastAsia="宋体" w:cs="宋体"/>
                <w:color w:val="000000"/>
                <w:sz w:val="24"/>
                <w:szCs w:val="24"/>
                <w:shd w:val="clear" w:color="auto" w:fill="FFFFFF"/>
              </w:rPr>
              <w:t>类整合子携带的抗生素抗性基因（</w:t>
            </w:r>
            <w:r>
              <w:rPr>
                <w:rFonts w:ascii="Times New Roman" w:hAnsi="Times New Roman" w:eastAsia="宋体" w:cs="宋体"/>
                <w:color w:val="000000"/>
                <w:sz w:val="24"/>
                <w:szCs w:val="24"/>
                <w:shd w:val="clear" w:color="auto" w:fill="FFFFFF"/>
              </w:rPr>
              <w:t>ARGs</w:t>
            </w:r>
            <w:r>
              <w:rPr>
                <w:rFonts w:hint="eastAsia" w:ascii="Times New Roman" w:hAnsi="Times New Roman" w:eastAsia="宋体" w:cs="宋体"/>
                <w:color w:val="000000"/>
                <w:sz w:val="24"/>
                <w:szCs w:val="24"/>
                <w:shd w:val="clear" w:color="auto" w:fill="FFFFFF"/>
              </w:rPr>
              <w:t>）的环境传播过程。该研究首次利用</w:t>
            </w:r>
            <w:r>
              <w:rPr>
                <w:rFonts w:ascii="Times New Roman" w:hAnsi="Times New Roman" w:eastAsia="宋体" w:cs="宋体"/>
                <w:color w:val="000000"/>
                <w:sz w:val="24"/>
                <w:szCs w:val="24"/>
                <w:shd w:val="clear" w:color="auto" w:fill="FFFFFF"/>
              </w:rPr>
              <w:t>GO</w:t>
            </w:r>
            <w:r>
              <w:rPr>
                <w:rFonts w:hint="eastAsia" w:ascii="Times New Roman" w:hAnsi="Times New Roman" w:eastAsia="宋体" w:cs="宋体"/>
                <w:color w:val="000000"/>
                <w:sz w:val="24"/>
                <w:szCs w:val="24"/>
                <w:shd w:val="clear" w:color="auto" w:fill="FFFFFF"/>
              </w:rPr>
              <w:t>针对</w:t>
            </w:r>
            <w:r>
              <w:rPr>
                <w:rFonts w:ascii="Times New Roman" w:hAnsi="Times New Roman" w:eastAsia="宋体" w:cs="宋体"/>
                <w:color w:val="000000"/>
                <w:sz w:val="24"/>
                <w:szCs w:val="24"/>
                <w:shd w:val="clear" w:color="auto" w:fill="FFFFFF"/>
              </w:rPr>
              <w:t>ARGs</w:t>
            </w:r>
            <w:r>
              <w:rPr>
                <w:rFonts w:hint="eastAsia" w:ascii="Times New Roman" w:hAnsi="Times New Roman" w:eastAsia="宋体" w:cs="宋体"/>
                <w:color w:val="000000"/>
                <w:sz w:val="24"/>
                <w:szCs w:val="24"/>
                <w:shd w:val="clear" w:color="auto" w:fill="FFFFFF"/>
              </w:rPr>
              <w:t>环境传播展开深入探究。此外，对小片径单层二硫化钼（</w:t>
            </w:r>
            <w:r>
              <w:rPr>
                <w:rFonts w:ascii="Times New Roman" w:hAnsi="Times New Roman" w:eastAsia="宋体" w:cs="宋体"/>
                <w:color w:val="000000"/>
                <w:sz w:val="24"/>
                <w:szCs w:val="24"/>
                <w:shd w:val="clear" w:color="auto" w:fill="FFFFFF"/>
              </w:rPr>
              <w:t>SLMoS2</w:t>
            </w:r>
            <w:r>
              <w:rPr>
                <w:rFonts w:hint="eastAsia" w:ascii="Times New Roman" w:hAnsi="Times New Roman" w:eastAsia="宋体" w:cs="宋体"/>
                <w:color w:val="000000"/>
                <w:sz w:val="24"/>
                <w:szCs w:val="24"/>
                <w:shd w:val="clear" w:color="auto" w:fill="FFFFFF"/>
              </w:rPr>
              <w:t>）肺纤维细胞毒性及通路机制进行了分析，并根据金属纳米颗粒负载及光照处理对形成</w:t>
            </w:r>
            <w:r>
              <w:rPr>
                <w:rFonts w:ascii="Times New Roman" w:hAnsi="Times New Roman" w:eastAsia="宋体" w:cs="宋体"/>
                <w:color w:val="000000"/>
                <w:sz w:val="24"/>
                <w:szCs w:val="24"/>
                <w:shd w:val="clear" w:color="auto" w:fill="FFFFFF"/>
              </w:rPr>
              <w:t>SLMoS2</w:t>
            </w:r>
            <w:r>
              <w:rPr>
                <w:rFonts w:hint="eastAsia" w:ascii="Times New Roman" w:hAnsi="Times New Roman" w:eastAsia="宋体" w:cs="宋体"/>
                <w:color w:val="000000"/>
                <w:sz w:val="24"/>
                <w:szCs w:val="24"/>
                <w:shd w:val="clear" w:color="auto" w:fill="FFFFFF"/>
              </w:rPr>
              <w:t>胞外蛋白冠的影响，研究</w:t>
            </w:r>
            <w:r>
              <w:rPr>
                <w:rFonts w:ascii="Times New Roman" w:hAnsi="Times New Roman" w:eastAsia="宋体" w:cs="宋体"/>
                <w:color w:val="000000"/>
                <w:sz w:val="24"/>
                <w:szCs w:val="24"/>
                <w:shd w:val="clear" w:color="auto" w:fill="FFFFFF"/>
              </w:rPr>
              <w:t>SLMoS2</w:t>
            </w:r>
            <w:r>
              <w:rPr>
                <w:rFonts w:hint="eastAsia" w:ascii="Times New Roman" w:hAnsi="Times New Roman" w:eastAsia="宋体" w:cs="宋体"/>
                <w:color w:val="000000"/>
                <w:sz w:val="24"/>
                <w:szCs w:val="24"/>
                <w:shd w:val="clear" w:color="auto" w:fill="FFFFFF"/>
              </w:rPr>
              <w:t>作为生物医学材料应用的潜力。首次发现腐殖酸（</w:t>
            </w:r>
            <w:r>
              <w:rPr>
                <w:rFonts w:ascii="Times New Roman" w:hAnsi="Times New Roman" w:eastAsia="宋体" w:cs="宋体"/>
                <w:color w:val="000000"/>
                <w:sz w:val="24"/>
                <w:szCs w:val="24"/>
                <w:shd w:val="clear" w:color="auto" w:fill="FFFFFF"/>
              </w:rPr>
              <w:t>HA</w:t>
            </w:r>
            <w:r>
              <w:rPr>
                <w:rFonts w:hint="eastAsia" w:ascii="Times New Roman" w:hAnsi="Times New Roman" w:eastAsia="宋体" w:cs="宋体"/>
                <w:color w:val="000000"/>
                <w:sz w:val="24"/>
                <w:szCs w:val="24"/>
                <w:shd w:val="clear" w:color="auto" w:fill="FFFFFF"/>
              </w:rPr>
              <w:t>）能有效促进</w:t>
            </w:r>
            <w:r>
              <w:rPr>
                <w:rFonts w:ascii="Times New Roman" w:hAnsi="Times New Roman" w:eastAsia="宋体" w:cs="宋体"/>
                <w:color w:val="000000"/>
                <w:sz w:val="24"/>
                <w:szCs w:val="24"/>
                <w:shd w:val="clear" w:color="auto" w:fill="FFFFFF"/>
              </w:rPr>
              <w:t>SLMoS2</w:t>
            </w:r>
            <w:r>
              <w:rPr>
                <w:rFonts w:hint="eastAsia" w:ascii="Times New Roman" w:hAnsi="Times New Roman" w:eastAsia="宋体" w:cs="宋体"/>
                <w:color w:val="000000"/>
                <w:sz w:val="24"/>
                <w:szCs w:val="24"/>
                <w:shd w:val="clear" w:color="auto" w:fill="FFFFFF"/>
              </w:rPr>
              <w:t>在环境介质中的转化并缓解其对水生生物细胞的影响。博士期间发表</w:t>
            </w:r>
            <w:r>
              <w:rPr>
                <w:rFonts w:ascii="Times New Roman" w:hAnsi="Times New Roman" w:eastAsia="宋体" w:cs="宋体"/>
                <w:color w:val="000000"/>
                <w:sz w:val="24"/>
                <w:szCs w:val="24"/>
                <w:shd w:val="clear" w:color="auto" w:fill="FFFFFF"/>
              </w:rPr>
              <w:t>SCI</w:t>
            </w:r>
            <w:r>
              <w:rPr>
                <w:rFonts w:hint="eastAsia" w:ascii="Times New Roman" w:hAnsi="Times New Roman" w:eastAsia="宋体" w:cs="宋体"/>
                <w:color w:val="000000"/>
                <w:sz w:val="24"/>
                <w:szCs w:val="24"/>
                <w:shd w:val="clear" w:color="auto" w:fill="FFFFFF"/>
              </w:rPr>
              <w:t>论文</w:t>
            </w:r>
            <w:r>
              <w:rPr>
                <w:rFonts w:ascii="Times New Roman" w:hAnsi="Times New Roman" w:eastAsia="宋体" w:cs="宋体"/>
                <w:color w:val="000000"/>
                <w:sz w:val="24"/>
                <w:szCs w:val="24"/>
                <w:shd w:val="clear" w:color="auto" w:fill="FFFFFF"/>
              </w:rPr>
              <w:t>2</w:t>
            </w:r>
            <w:r>
              <w:rPr>
                <w:rFonts w:hint="eastAsia" w:ascii="Times New Roman" w:hAnsi="Times New Roman" w:eastAsia="宋体" w:cs="宋体"/>
                <w:color w:val="000000"/>
                <w:sz w:val="24"/>
                <w:szCs w:val="24"/>
                <w:shd w:val="clear" w:color="auto" w:fill="FFFFFF"/>
              </w:rPr>
              <w:t>篇，其中</w:t>
            </w:r>
            <w:r>
              <w:rPr>
                <w:rFonts w:ascii="Times New Roman" w:hAnsi="Times New Roman" w:eastAsia="宋体" w:cs="宋体"/>
                <w:color w:val="000000"/>
                <w:sz w:val="24"/>
                <w:szCs w:val="24"/>
                <w:shd w:val="clear" w:color="auto" w:fill="FFFFFF"/>
              </w:rPr>
              <w:t>ACS Applied Materials &amp; Interfaces</w:t>
            </w:r>
            <w:r>
              <w:rPr>
                <w:rFonts w:hint="eastAsia" w:ascii="Times New Roman" w:hAnsi="Times New Roman" w:eastAsia="宋体" w:cs="宋体"/>
                <w:color w:val="000000"/>
                <w:sz w:val="24"/>
                <w:szCs w:val="24"/>
                <w:shd w:val="clear" w:color="auto" w:fill="FFFFFF"/>
              </w:rPr>
              <w:t>发表论文</w:t>
            </w:r>
            <w:r>
              <w:rPr>
                <w:rFonts w:ascii="Times New Roman" w:hAnsi="Times New Roman" w:eastAsia="宋体" w:cs="宋体"/>
                <w:color w:val="000000"/>
                <w:sz w:val="24"/>
                <w:szCs w:val="24"/>
                <w:shd w:val="clear" w:color="auto" w:fill="FFFFFF"/>
              </w:rPr>
              <w:t>1</w:t>
            </w:r>
            <w:r>
              <w:rPr>
                <w:rFonts w:hint="eastAsia" w:ascii="Times New Roman" w:hAnsi="Times New Roman" w:eastAsia="宋体" w:cs="宋体"/>
                <w:color w:val="000000"/>
                <w:sz w:val="24"/>
                <w:szCs w:val="24"/>
                <w:shd w:val="clear" w:color="auto" w:fill="FFFFFF"/>
              </w:rPr>
              <w:t>篇，</w:t>
            </w:r>
            <w:r>
              <w:rPr>
                <w:rFonts w:ascii="Times New Roman" w:hAnsi="Times New Roman" w:eastAsia="宋体" w:cs="宋体"/>
                <w:color w:val="000000"/>
                <w:sz w:val="24"/>
                <w:szCs w:val="24"/>
                <w:shd w:val="clear" w:color="auto" w:fill="FFFFFF"/>
              </w:rPr>
              <w:t>Nanotoxicology</w:t>
            </w:r>
            <w:r>
              <w:rPr>
                <w:rFonts w:hint="eastAsia" w:ascii="Times New Roman" w:hAnsi="Times New Roman" w:eastAsia="宋体" w:cs="宋体"/>
                <w:color w:val="000000"/>
                <w:sz w:val="24"/>
                <w:szCs w:val="24"/>
                <w:shd w:val="clear" w:color="auto" w:fill="FFFFFF"/>
              </w:rPr>
              <w:t>发表</w:t>
            </w:r>
            <w:r>
              <w:rPr>
                <w:rFonts w:ascii="Times New Roman" w:hAnsi="Times New Roman" w:eastAsia="宋体" w:cs="宋体"/>
                <w:color w:val="000000"/>
                <w:sz w:val="24"/>
                <w:szCs w:val="24"/>
                <w:shd w:val="clear" w:color="auto" w:fill="FFFFFF"/>
              </w:rPr>
              <w:t>1</w:t>
            </w:r>
            <w:r>
              <w:rPr>
                <w:rFonts w:hint="eastAsia" w:ascii="Times New Roman" w:hAnsi="Times New Roman" w:eastAsia="宋体" w:cs="宋体"/>
                <w:color w:val="000000"/>
                <w:sz w:val="24"/>
                <w:szCs w:val="24"/>
                <w:shd w:val="clear" w:color="auto" w:fill="FFFFFF"/>
              </w:rPr>
              <w:t>篇，博士毕业论文被推荐申报南开大学优秀博士毕业论文。</w:t>
            </w:r>
          </w:p>
          <w:p>
            <w:pPr>
              <w:adjustRightInd w:val="0"/>
              <w:snapToGrid w:val="0"/>
              <w:spacing w:beforeLines="20" w:line="400" w:lineRule="exact"/>
              <w:ind w:firstLine="482" w:firstLineChars="200"/>
              <w:jc w:val="left"/>
              <w:rPr>
                <w:rFonts w:ascii="Times New Roman" w:hAnsi="Times New Roman" w:eastAsia="宋体" w:cs="宋体"/>
                <w:color w:val="000000"/>
                <w:sz w:val="24"/>
                <w:szCs w:val="24"/>
                <w:shd w:val="clear" w:color="auto" w:fill="FFFFFF"/>
              </w:rPr>
            </w:pPr>
            <w:r>
              <w:rPr>
                <w:rFonts w:hint="eastAsia" w:ascii="Times New Roman" w:hAnsi="Times New Roman" w:eastAsia="宋体" w:cs="宋体"/>
                <w:b/>
                <w:color w:val="000000"/>
                <w:sz w:val="24"/>
                <w:szCs w:val="24"/>
                <w:shd w:val="clear" w:color="auto" w:fill="FFFFFF"/>
              </w:rPr>
              <w:t>王鹏飞</w:t>
            </w:r>
            <w:r>
              <w:rPr>
                <w:rFonts w:hint="eastAsia" w:ascii="Times New Roman" w:hAnsi="Times New Roman" w:eastAsia="宋体" w:cs="宋体"/>
                <w:color w:val="000000"/>
                <w:sz w:val="24"/>
                <w:szCs w:val="24"/>
                <w:shd w:val="clear" w:color="auto" w:fill="FFFFFF"/>
              </w:rPr>
              <w:t>：</w:t>
            </w:r>
            <w:r>
              <w:rPr>
                <w:rFonts w:ascii="Times New Roman" w:hAnsi="Times New Roman" w:eastAsia="宋体" w:cs="宋体"/>
                <w:color w:val="000000"/>
                <w:sz w:val="24"/>
                <w:szCs w:val="24"/>
                <w:shd w:val="clear" w:color="auto" w:fill="FFFFFF"/>
              </w:rPr>
              <w:t>2015-2018年在</w:t>
            </w:r>
            <w:r>
              <w:rPr>
                <w:rFonts w:hint="eastAsia" w:ascii="Times New Roman" w:hAnsi="Times New Roman" w:eastAsia="宋体" w:cs="宋体"/>
                <w:b/>
                <w:color w:val="000000"/>
                <w:sz w:val="24"/>
                <w:szCs w:val="24"/>
                <w:shd w:val="clear" w:color="auto" w:fill="FFFFFF"/>
              </w:rPr>
              <w:t>周启星</w:t>
            </w:r>
            <w:r>
              <w:rPr>
                <w:rFonts w:ascii="Times New Roman" w:hAnsi="Times New Roman" w:eastAsia="宋体" w:cs="宋体"/>
                <w:color w:val="000000"/>
                <w:sz w:val="24"/>
                <w:szCs w:val="24"/>
                <w:shd w:val="clear" w:color="auto" w:fill="FFFFFF"/>
              </w:rPr>
              <w:t>教授指导下攻读博士学位。期间主要研究了金属氧化物、金属硫化物半导体复合功能材料在能源和环境方面的应用，阐明功能纳米材料的微观结构与催化性能之间的关系，实现功能设计和调控。以研究能带工程和电子传递对催化性能的影响为出发点，通过元素掺杂、异质结耦合的手段，结合发展新的纳米表征技术及理论计算，揭示纳米材料与催化性能之间的新规律、新现象和新应用。该研究结果为制备出关键纳米材料与纳米结构的光催化器件在实际工程中的应用提供了基础。博士期间撰写论文4篇，其中已经以第一作者在Appl. Catal. B: Environ. 发表论文2篇，在投2篇，参与发表SCI论文共6篇。</w:t>
            </w:r>
          </w:p>
          <w:p>
            <w:pPr>
              <w:adjustRightInd w:val="0"/>
              <w:snapToGrid w:val="0"/>
              <w:spacing w:beforeLines="20" w:line="400" w:lineRule="exact"/>
              <w:ind w:firstLine="482" w:firstLineChars="200"/>
              <w:jc w:val="left"/>
              <w:rPr>
                <w:rFonts w:ascii="Times New Roman" w:hAnsi="Times New Roman" w:eastAsia="宋体" w:cs="宋体"/>
                <w:color w:val="000000"/>
                <w:sz w:val="24"/>
                <w:szCs w:val="24"/>
                <w:shd w:val="clear" w:color="auto" w:fill="FFFFFF"/>
              </w:rPr>
            </w:pPr>
            <w:r>
              <w:rPr>
                <w:rFonts w:hint="eastAsia" w:ascii="Times New Roman" w:hAnsi="Times New Roman" w:eastAsia="宋体" w:cs="宋体"/>
                <w:b/>
                <w:color w:val="000000"/>
                <w:sz w:val="24"/>
                <w:szCs w:val="24"/>
                <w:shd w:val="clear" w:color="auto" w:fill="FFFFFF"/>
              </w:rPr>
              <w:t>李丹丹</w:t>
            </w:r>
            <w:r>
              <w:rPr>
                <w:rFonts w:ascii="Times New Roman" w:hAnsi="Times New Roman" w:eastAsia="宋体" w:cs="宋体"/>
                <w:color w:val="000000"/>
                <w:sz w:val="24"/>
                <w:szCs w:val="24"/>
                <w:shd w:val="clear" w:color="auto" w:fill="FFFFFF"/>
              </w:rPr>
              <w:t xml:space="preserve"> ：2015</w:t>
            </w:r>
            <w:r>
              <w:rPr>
                <w:rFonts w:hint="eastAsia" w:ascii="Times New Roman" w:hAnsi="Times New Roman" w:eastAsia="宋体" w:cs="宋体"/>
                <w:color w:val="000000"/>
                <w:sz w:val="24"/>
                <w:szCs w:val="24"/>
                <w:shd w:val="clear" w:color="auto" w:fill="FFFFFF"/>
              </w:rPr>
              <w:t>-2018年</w:t>
            </w:r>
            <w:r>
              <w:rPr>
                <w:rFonts w:ascii="Times New Roman" w:hAnsi="Times New Roman" w:eastAsia="宋体" w:cs="宋体"/>
                <w:color w:val="000000"/>
                <w:sz w:val="24"/>
                <w:szCs w:val="24"/>
                <w:shd w:val="clear" w:color="auto" w:fill="FFFFFF"/>
              </w:rPr>
              <w:t>在</w:t>
            </w:r>
            <w:r>
              <w:rPr>
                <w:rFonts w:hint="eastAsia" w:ascii="Times New Roman" w:hAnsi="Times New Roman" w:eastAsia="宋体" w:cs="宋体"/>
                <w:b/>
                <w:color w:val="000000"/>
                <w:sz w:val="24"/>
                <w:szCs w:val="24"/>
                <w:shd w:val="clear" w:color="auto" w:fill="FFFFFF"/>
              </w:rPr>
              <w:t>胡献刚</w:t>
            </w:r>
            <w:r>
              <w:rPr>
                <w:rFonts w:ascii="Times New Roman" w:hAnsi="Times New Roman" w:eastAsia="宋体" w:cs="宋体"/>
                <w:color w:val="000000"/>
                <w:sz w:val="24"/>
                <w:szCs w:val="24"/>
                <w:shd w:val="clear" w:color="auto" w:fill="FFFFFF"/>
              </w:rPr>
              <w:t>副教授指导下攻读硕士学位。她通过研究氧化石墨烯纳米片在人血浆中14天的生物转化及其对与细胞相互作用的影响，发现人血浆中的自由基（如羟基和超氧自由基）和生物小分子同时驱动经生物转化的氧化石墨烯纳米片上的生物电晕的形成，并且，经生物转化的氧化石墨烯缓解了的由原始氧化石墨烯纳米片引起的细胞氧化和超微结构的损伤。这一发现表明在评估纳米材料的环境健康风险时应注意材料的生物转化过程，从而避免高估相关材料的生物风险。硕士期间，作为学生一作在环境领域期刊Environ. Sci.: Nano 和Environ. Int. 各发表论文1篇；作为合作者发表专利一项。</w:t>
            </w:r>
          </w:p>
        </w:tc>
      </w:tr>
    </w:tbl>
    <w:p>
      <w:pPr>
        <w:adjustRightInd w:val="0"/>
        <w:snapToGrid w:val="0"/>
        <w:rPr>
          <w:rFonts w:ascii="Times New Roman" w:hAnsi="Times New Roman" w:eastAsia="楷体_GB2312" w:cs="Times New Roman"/>
          <w:szCs w:val="24"/>
        </w:rPr>
      </w:pP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（3）研究生参加国际会议情况（列举5项以内）</w:t>
      </w:r>
    </w:p>
    <w:tbl>
      <w:tblPr>
        <w:tblStyle w:val="17"/>
        <w:tblW w:w="830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
      <w:tblGrid>
        <w:gridCol w:w="564"/>
        <w:gridCol w:w="1666"/>
        <w:gridCol w:w="1027"/>
        <w:gridCol w:w="1135"/>
        <w:gridCol w:w="3087"/>
        <w:gridCol w:w="8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1166" w:hRule="atLeast"/>
          <w:jc w:val="center"/>
        </w:trPr>
        <w:tc>
          <w:tcPr>
            <w:tcW w:w="564"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序号</w:t>
            </w:r>
          </w:p>
        </w:tc>
        <w:tc>
          <w:tcPr>
            <w:tcW w:w="1666"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参加会议形式</w:t>
            </w:r>
          </w:p>
        </w:tc>
        <w:tc>
          <w:tcPr>
            <w:tcW w:w="1027"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学生姓名</w:t>
            </w:r>
          </w:p>
        </w:tc>
        <w:tc>
          <w:tcPr>
            <w:tcW w:w="1135"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硕士/博士</w:t>
            </w:r>
          </w:p>
        </w:tc>
        <w:tc>
          <w:tcPr>
            <w:tcW w:w="3087"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参加会议名称及会议主办方</w:t>
            </w:r>
          </w:p>
        </w:tc>
        <w:tc>
          <w:tcPr>
            <w:tcW w:w="827" w:type="dxa"/>
            <w:vAlign w:val="center"/>
          </w:tcPr>
          <w:p>
            <w:pPr>
              <w:adjustRightInd w:val="0"/>
              <w:snapToGrid w:val="0"/>
              <w:jc w:val="center"/>
              <w:rPr>
                <w:rFonts w:ascii="Times New Roman" w:hAnsi="Times New Roman" w:eastAsia="黑体" w:cs="Times New Roman"/>
                <w:b/>
                <w:sz w:val="24"/>
                <w:szCs w:val="24"/>
              </w:rPr>
            </w:pPr>
            <w:r>
              <w:rPr>
                <w:rFonts w:ascii="Times New Roman" w:hAnsi="Times New Roman" w:eastAsia="黑体" w:cs="Times New Roman"/>
                <w:b/>
                <w:sz w:val="24"/>
                <w:szCs w:val="24"/>
              </w:rPr>
              <w:t>导师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454" w:hRule="atLeast"/>
          <w:jc w:val="center"/>
        </w:trPr>
        <w:tc>
          <w:tcPr>
            <w:tcW w:w="564"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1</w:t>
            </w:r>
          </w:p>
        </w:tc>
        <w:tc>
          <w:tcPr>
            <w:tcW w:w="1666" w:type="dxa"/>
            <w:vAlign w:val="center"/>
          </w:tcPr>
          <w:p>
            <w:pPr>
              <w:adjustRightInd w:val="0"/>
              <w:snapToGrid w:val="0"/>
              <w:ind w:firstLine="21" w:firstLineChars="9"/>
              <w:jc w:val="center"/>
              <w:rPr>
                <w:rFonts w:ascii="宋体" w:hAnsi="宋体" w:eastAsia="宋体" w:cs="宋体"/>
                <w:sz w:val="24"/>
                <w:szCs w:val="24"/>
              </w:rPr>
            </w:pPr>
            <w:r>
              <w:rPr>
                <w:rFonts w:hint="eastAsia" w:ascii="宋体" w:hAnsi="宋体" w:eastAsia="宋体" w:cs="宋体"/>
                <w:sz w:val="24"/>
                <w:szCs w:val="24"/>
              </w:rPr>
              <w:t>张贴论文</w:t>
            </w:r>
          </w:p>
        </w:tc>
        <w:tc>
          <w:tcPr>
            <w:tcW w:w="1027"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吴志能</w:t>
            </w:r>
          </w:p>
        </w:tc>
        <w:tc>
          <w:tcPr>
            <w:tcW w:w="1135"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博士</w:t>
            </w:r>
          </w:p>
        </w:tc>
        <w:tc>
          <w:tcPr>
            <w:tcW w:w="3087"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第254届美国化学学会年会</w:t>
            </w:r>
          </w:p>
        </w:tc>
        <w:tc>
          <w:tcPr>
            <w:tcW w:w="827"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王莹莹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454" w:hRule="atLeast"/>
          <w:jc w:val="center"/>
        </w:trPr>
        <w:tc>
          <w:tcPr>
            <w:tcW w:w="564"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2</w:t>
            </w:r>
          </w:p>
        </w:tc>
        <w:tc>
          <w:tcPr>
            <w:tcW w:w="1666"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张贴论文</w:t>
            </w:r>
          </w:p>
        </w:tc>
        <w:tc>
          <w:tcPr>
            <w:tcW w:w="1027"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毛冠男</w:t>
            </w:r>
          </w:p>
        </w:tc>
        <w:tc>
          <w:tcPr>
            <w:tcW w:w="1135"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博士</w:t>
            </w:r>
          </w:p>
        </w:tc>
        <w:tc>
          <w:tcPr>
            <w:tcW w:w="3087"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微生物经济学观点中人类与微生物关系</w:t>
            </w:r>
          </w:p>
        </w:tc>
        <w:tc>
          <w:tcPr>
            <w:tcW w:w="827" w:type="dxa"/>
            <w:vAlign w:val="center"/>
          </w:tcPr>
          <w:p>
            <w:pPr>
              <w:adjustRightInd w:val="0"/>
              <w:snapToGrid w:val="0"/>
              <w:rPr>
                <w:rFonts w:ascii="Times New Roman" w:hAnsi="Times New Roman" w:eastAsia="楷体_GB2312" w:cs="Times New Roman"/>
                <w:sz w:val="24"/>
                <w:szCs w:val="24"/>
              </w:rPr>
            </w:pPr>
            <w:r>
              <w:rPr>
                <w:rFonts w:hint="eastAsia" w:ascii="宋体" w:hAnsi="宋体" w:eastAsia="宋体" w:cs="宋体"/>
                <w:sz w:val="24"/>
                <w:szCs w:val="24"/>
              </w:rPr>
              <w:t>王莹莹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454" w:hRule="atLeast"/>
          <w:jc w:val="center"/>
        </w:trPr>
        <w:tc>
          <w:tcPr>
            <w:tcW w:w="564"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3</w:t>
            </w:r>
          </w:p>
        </w:tc>
        <w:tc>
          <w:tcPr>
            <w:tcW w:w="1666" w:type="dxa"/>
            <w:vAlign w:val="top"/>
          </w:tcPr>
          <w:p>
            <w:pPr>
              <w:adjustRightInd w:val="0"/>
              <w:snapToGrid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口头报告</w:t>
            </w:r>
          </w:p>
        </w:tc>
        <w:tc>
          <w:tcPr>
            <w:tcW w:w="1027"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潘玉伟</w:t>
            </w:r>
          </w:p>
        </w:tc>
        <w:tc>
          <w:tcPr>
            <w:tcW w:w="1135"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博士</w:t>
            </w:r>
          </w:p>
        </w:tc>
        <w:tc>
          <w:tcPr>
            <w:tcW w:w="3087"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2017加拿大土木工程年会</w:t>
            </w:r>
          </w:p>
        </w:tc>
        <w:tc>
          <w:tcPr>
            <w:tcW w:w="827" w:type="dxa"/>
            <w:vAlign w:val="center"/>
          </w:tcPr>
          <w:p>
            <w:pPr>
              <w:adjustRightInd w:val="0"/>
              <w:snapToGrid w:val="0"/>
              <w:jc w:val="center"/>
              <w:rPr>
                <w:rFonts w:ascii="Times New Roman" w:hAnsi="Times New Roman" w:eastAsia="楷体_GB2312" w:cs="Times New Roman"/>
                <w:sz w:val="24"/>
                <w:szCs w:val="24"/>
              </w:rPr>
            </w:pPr>
            <w:r>
              <w:rPr>
                <w:rFonts w:hint="eastAsia" w:ascii="宋体" w:hAnsi="宋体" w:eastAsia="宋体" w:cs="宋体"/>
                <w:sz w:val="24"/>
                <w:szCs w:val="24"/>
              </w:rPr>
              <w:t>周明华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454" w:hRule="atLeast"/>
          <w:jc w:val="center"/>
        </w:trPr>
        <w:tc>
          <w:tcPr>
            <w:tcW w:w="564"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4</w:t>
            </w:r>
          </w:p>
        </w:tc>
        <w:tc>
          <w:tcPr>
            <w:tcW w:w="1666" w:type="dxa"/>
            <w:vAlign w:val="center"/>
          </w:tcPr>
          <w:p>
            <w:pPr>
              <w:adjustRightInd w:val="0"/>
              <w:snapToGrid w:val="0"/>
              <w:ind w:firstLine="21" w:firstLineChars="9"/>
              <w:jc w:val="center"/>
              <w:rPr>
                <w:rFonts w:ascii="宋体" w:hAnsi="宋体" w:eastAsia="宋体" w:cs="宋体"/>
                <w:sz w:val="24"/>
                <w:szCs w:val="24"/>
              </w:rPr>
            </w:pPr>
            <w:r>
              <w:rPr>
                <w:rFonts w:hint="eastAsia" w:ascii="宋体" w:hAnsi="宋体" w:eastAsia="宋体" w:cs="宋体"/>
                <w:sz w:val="24"/>
                <w:szCs w:val="24"/>
              </w:rPr>
              <w:t>口头报告</w:t>
            </w:r>
          </w:p>
        </w:tc>
        <w:tc>
          <w:tcPr>
            <w:tcW w:w="1027" w:type="dxa"/>
            <w:vAlign w:val="center"/>
          </w:tcPr>
          <w:p>
            <w:pPr>
              <w:adjustRightInd w:val="0"/>
              <w:snapToGrid w:val="0"/>
              <w:ind w:firstLine="21" w:firstLineChars="9"/>
              <w:jc w:val="center"/>
              <w:rPr>
                <w:rFonts w:ascii="宋体" w:hAnsi="宋体" w:eastAsia="宋体" w:cs="宋体"/>
                <w:sz w:val="24"/>
                <w:szCs w:val="24"/>
              </w:rPr>
            </w:pPr>
            <w:r>
              <w:rPr>
                <w:rFonts w:hint="eastAsia" w:ascii="宋体" w:hAnsi="宋体" w:eastAsia="宋体" w:cs="宋体"/>
                <w:sz w:val="24"/>
                <w:szCs w:val="24"/>
              </w:rPr>
              <w:t>任更波</w:t>
            </w:r>
          </w:p>
        </w:tc>
        <w:tc>
          <w:tcPr>
            <w:tcW w:w="1135" w:type="dxa"/>
            <w:vAlign w:val="center"/>
          </w:tcPr>
          <w:p>
            <w:pPr>
              <w:adjustRightInd w:val="0"/>
              <w:snapToGrid w:val="0"/>
              <w:ind w:firstLine="21" w:firstLineChars="9"/>
              <w:jc w:val="center"/>
              <w:rPr>
                <w:rFonts w:ascii="宋体" w:hAnsi="宋体" w:eastAsia="宋体" w:cs="宋体"/>
                <w:sz w:val="24"/>
                <w:szCs w:val="24"/>
              </w:rPr>
            </w:pPr>
            <w:r>
              <w:rPr>
                <w:rFonts w:hint="eastAsia" w:ascii="宋体" w:hAnsi="宋体" w:eastAsia="宋体" w:cs="宋体"/>
                <w:sz w:val="24"/>
                <w:szCs w:val="24"/>
              </w:rPr>
              <w:t>博士</w:t>
            </w:r>
          </w:p>
        </w:tc>
        <w:tc>
          <w:tcPr>
            <w:tcW w:w="3087" w:type="dxa"/>
            <w:vAlign w:val="center"/>
          </w:tcPr>
          <w:p>
            <w:pPr>
              <w:adjustRightInd w:val="0"/>
              <w:snapToGrid w:val="0"/>
              <w:ind w:firstLine="21" w:firstLineChars="9"/>
              <w:jc w:val="center"/>
              <w:rPr>
                <w:rFonts w:ascii="宋体" w:hAnsi="宋体" w:eastAsia="宋体" w:cs="宋体"/>
                <w:sz w:val="24"/>
                <w:szCs w:val="24"/>
              </w:rPr>
            </w:pPr>
            <w:r>
              <w:rPr>
                <w:rFonts w:ascii="宋体" w:hAnsi="宋体" w:eastAsia="宋体" w:cs="宋体"/>
                <w:sz w:val="24"/>
                <w:szCs w:val="24"/>
              </w:rPr>
              <w:t>欧洲化学工程联合会</w:t>
            </w:r>
          </w:p>
        </w:tc>
        <w:tc>
          <w:tcPr>
            <w:tcW w:w="827" w:type="dxa"/>
            <w:vAlign w:val="center"/>
          </w:tcPr>
          <w:p>
            <w:pPr>
              <w:adjustRightInd w:val="0"/>
              <w:snapToGrid w:val="0"/>
              <w:ind w:firstLine="21" w:firstLineChars="9"/>
              <w:jc w:val="center"/>
              <w:rPr>
                <w:rFonts w:ascii="宋体" w:hAnsi="宋体" w:eastAsia="宋体" w:cs="宋体"/>
                <w:sz w:val="24"/>
                <w:szCs w:val="24"/>
              </w:rPr>
            </w:pPr>
            <w:r>
              <w:rPr>
                <w:rFonts w:hint="eastAsia" w:ascii="宋体" w:hAnsi="宋体" w:eastAsia="宋体" w:cs="宋体"/>
                <w:sz w:val="24"/>
                <w:szCs w:val="24"/>
              </w:rPr>
              <w:t>周明华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4" w:type="dxa"/>
            <w:bottom w:w="0" w:type="dxa"/>
            <w:right w:w="14" w:type="dxa"/>
          </w:tblCellMar>
        </w:tblPrEx>
        <w:trPr>
          <w:trHeight w:val="454" w:hRule="atLeast"/>
          <w:jc w:val="center"/>
        </w:trPr>
        <w:tc>
          <w:tcPr>
            <w:tcW w:w="564"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5</w:t>
            </w:r>
          </w:p>
        </w:tc>
        <w:tc>
          <w:tcPr>
            <w:tcW w:w="1666" w:type="dxa"/>
            <w:vAlign w:val="center"/>
          </w:tcPr>
          <w:p>
            <w:pPr>
              <w:adjustRightInd w:val="0"/>
              <w:snapToGrid w:val="0"/>
              <w:ind w:firstLine="21" w:firstLineChars="9"/>
              <w:jc w:val="center"/>
              <w:rPr>
                <w:rFonts w:ascii="宋体" w:cs="宋体"/>
                <w:sz w:val="24"/>
                <w:szCs w:val="24"/>
              </w:rPr>
            </w:pPr>
            <w:r>
              <w:rPr>
                <w:rFonts w:hint="eastAsia" w:ascii="宋体" w:hAnsi="宋体" w:eastAsia="宋体" w:cs="宋体"/>
                <w:sz w:val="24"/>
                <w:szCs w:val="24"/>
              </w:rPr>
              <w:t>口头报告</w:t>
            </w:r>
          </w:p>
        </w:tc>
        <w:tc>
          <w:tcPr>
            <w:tcW w:w="1027"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杜青</w:t>
            </w:r>
          </w:p>
        </w:tc>
        <w:tc>
          <w:tcPr>
            <w:tcW w:w="1135"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博士</w:t>
            </w:r>
          </w:p>
        </w:tc>
        <w:tc>
          <w:tcPr>
            <w:tcW w:w="3087" w:type="dxa"/>
            <w:vAlign w:val="center"/>
          </w:tcPr>
          <w:p>
            <w:pPr>
              <w:adjustRightInd w:val="0"/>
              <w:snapToGrid w:val="0"/>
              <w:jc w:val="center"/>
              <w:rPr>
                <w:rFonts w:ascii="Times New Roman" w:hAnsi="Times New Roman" w:eastAsia="楷体_GB2312"/>
                <w:sz w:val="24"/>
                <w:szCs w:val="24"/>
              </w:rPr>
            </w:pPr>
            <w:r>
              <w:rPr>
                <w:rFonts w:ascii="宋体" w:hAnsi="宋体" w:eastAsia="宋体" w:cs="宋体"/>
                <w:bCs/>
                <w:szCs w:val="24"/>
              </w:rPr>
              <w:t>国际微生物电化学与技术学会第六次会议</w:t>
            </w:r>
          </w:p>
        </w:tc>
        <w:tc>
          <w:tcPr>
            <w:tcW w:w="827" w:type="dxa"/>
            <w:vAlign w:val="center"/>
          </w:tcPr>
          <w:p>
            <w:pPr>
              <w:adjustRightInd w:val="0"/>
              <w:snapToGrid w:val="0"/>
              <w:rPr>
                <w:rFonts w:ascii="宋体" w:hAnsi="宋体" w:eastAsia="宋体" w:cs="宋体"/>
                <w:sz w:val="24"/>
                <w:szCs w:val="24"/>
              </w:rPr>
            </w:pPr>
            <w:r>
              <w:rPr>
                <w:rFonts w:hint="eastAsia" w:ascii="宋体" w:hAnsi="宋体" w:eastAsia="宋体" w:cs="宋体"/>
                <w:sz w:val="24"/>
                <w:szCs w:val="24"/>
              </w:rPr>
              <w:t>王鑫</w:t>
            </w:r>
          </w:p>
        </w:tc>
      </w:tr>
    </w:tbl>
    <w:p>
      <w:pPr>
        <w:adjustRightInd w:val="0"/>
        <w:snapToGrid w:val="0"/>
        <w:ind w:firstLine="420" w:firstLineChars="200"/>
        <w:rPr>
          <w:rFonts w:ascii="Times New Roman" w:hAnsi="Times New Roman" w:eastAsia="黑体" w:cs="Times New Roman"/>
          <w:b/>
          <w:szCs w:val="24"/>
        </w:rPr>
      </w:pPr>
      <w:r>
        <w:rPr>
          <w:rFonts w:ascii="Times New Roman" w:hAnsi="Times New Roman" w:eastAsia="楷体_GB2312" w:cs="Times New Roman"/>
          <w:szCs w:val="24"/>
        </w:rPr>
        <w:t>注：请依次以参加会议形式为大会发言、口头报告、发表会议论文、其他为序分别填报。</w:t>
      </w:r>
      <w:r>
        <w:rPr>
          <w:rFonts w:ascii="Times New Roman" w:hAnsi="Times New Roman" w:eastAsia="黑体" w:cs="Times New Roman"/>
          <w:b/>
          <w:szCs w:val="24"/>
        </w:rPr>
        <w:t>所有研究生的导师必须是实验室固定研究人员。</w:t>
      </w:r>
    </w:p>
    <w:p>
      <w:pPr>
        <w:adjustRightInd w:val="0"/>
        <w:snapToGrid w:val="0"/>
        <w:rPr>
          <w:rFonts w:ascii="Times New Roman" w:hAnsi="Times New Roman" w:eastAsia="黑体" w:cs="Times New Roman"/>
          <w:b/>
          <w:szCs w:val="24"/>
        </w:rPr>
      </w:pPr>
    </w:p>
    <w:p>
      <w:pPr>
        <w:adjustRightInd w:val="0"/>
        <w:snapToGrid w:val="0"/>
        <w:ind w:firstLine="643" w:firstLineChars="200"/>
        <w:rPr>
          <w:rFonts w:ascii="Times New Roman" w:hAnsi="Times New Roman" w:eastAsia="黑体" w:cs="Times New Roman"/>
          <w:sz w:val="28"/>
          <w:szCs w:val="24"/>
        </w:rPr>
      </w:pPr>
      <w:r>
        <w:rPr>
          <w:rFonts w:ascii="Times New Roman" w:hAnsi="Times New Roman" w:eastAsia="黑体" w:cs="Times New Roman"/>
          <w:b/>
          <w:sz w:val="32"/>
          <w:szCs w:val="24"/>
        </w:rPr>
        <w:t>五、开放交流与运行管理</w:t>
      </w:r>
    </w:p>
    <w:p>
      <w:pPr>
        <w:adjustRightInd w:val="0"/>
        <w:snapToGrid w:val="0"/>
        <w:ind w:firstLine="482" w:firstLineChars="200"/>
        <w:rPr>
          <w:rFonts w:ascii="Times New Roman" w:hAnsi="Times New Roman" w:eastAsia="黑体" w:cs="Times New Roman"/>
          <w:b/>
          <w:bCs/>
          <w:sz w:val="24"/>
          <w:szCs w:val="24"/>
        </w:rPr>
      </w:pPr>
      <w:r>
        <w:rPr>
          <w:rFonts w:ascii="Times New Roman" w:hAnsi="Times New Roman" w:eastAsia="黑体" w:cs="Times New Roman"/>
          <w:b/>
          <w:bCs/>
          <w:sz w:val="24"/>
          <w:szCs w:val="24"/>
        </w:rPr>
        <w:t>（1）开放课题设置情况</w:t>
      </w:r>
    </w:p>
    <w:tbl>
      <w:tblPr>
        <w:tblStyle w:val="17"/>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112"/>
        <w:gridCol w:w="861"/>
        <w:gridCol w:w="827"/>
        <w:gridCol w:w="826"/>
        <w:gridCol w:w="152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0" w:hRule="atLeast"/>
          <w:jc w:val="center"/>
        </w:trPr>
        <w:tc>
          <w:tcPr>
            <w:tcW w:w="8784" w:type="dxa"/>
            <w:gridSpan w:val="7"/>
            <w:vAlign w:val="top"/>
          </w:tcPr>
          <w:p>
            <w:pPr>
              <w:adjustRightInd w:val="0"/>
              <w:snapToGrid w:val="0"/>
              <w:spacing w:beforeLines="20"/>
              <w:ind w:firstLine="480" w:firstLineChars="20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简述实验室在本年度内设置开放课题概况。</w:t>
            </w:r>
          </w:p>
          <w:p>
            <w:pPr>
              <w:adjustRightInd w:val="0"/>
              <w:snapToGrid w:val="0"/>
              <w:spacing w:line="400" w:lineRule="exact"/>
              <w:ind w:firstLine="480" w:firstLineChars="200"/>
              <w:jc w:val="left"/>
              <w:rPr>
                <w:rFonts w:ascii="Times New Roman" w:hAnsi="Times New Roman" w:eastAsia="宋体" w:cs="微软雅黑"/>
                <w:sz w:val="24"/>
                <w:szCs w:val="24"/>
              </w:rPr>
            </w:pPr>
            <w:r>
              <w:rPr>
                <w:rFonts w:hint="eastAsia" w:ascii="Times New Roman" w:hAnsi="Times New Roman" w:eastAsia="宋体" w:cs="微软雅黑"/>
                <w:sz w:val="24"/>
                <w:szCs w:val="24"/>
              </w:rPr>
              <w:t>环境污染过程与基准教育部重点实验室</w:t>
            </w:r>
            <w:r>
              <w:rPr>
                <w:rFonts w:ascii="Times New Roman" w:hAnsi="Times New Roman" w:eastAsia="宋体" w:cs="微软雅黑"/>
                <w:sz w:val="24"/>
                <w:szCs w:val="24"/>
              </w:rPr>
              <w:t>2017年度开放基金的申报，得到兄弟单位年轻学者的积极响应，共收到来自15个院校和研究机构的16份申请书</w:t>
            </w:r>
            <w:r>
              <w:rPr>
                <w:rFonts w:hint="eastAsia" w:ascii="Times New Roman" w:hAnsi="Times New Roman" w:eastAsia="宋体" w:cs="微软雅黑"/>
                <w:sz w:val="24"/>
                <w:szCs w:val="24"/>
              </w:rPr>
              <w:t>，最终立项资助7项，比上一年度增加1项，资助强度由2万元/项提高至4万元/项。具体见下表（开放课题资助情况一览表）。</w:t>
            </w:r>
          </w:p>
          <w:p>
            <w:pPr>
              <w:adjustRightInd w:val="0"/>
              <w:snapToGrid w:val="0"/>
              <w:spacing w:line="400" w:lineRule="exact"/>
              <w:ind w:firstLine="480" w:firstLineChars="200"/>
              <w:jc w:val="left"/>
              <w:rPr>
                <w:rFonts w:ascii="Times New Roman" w:hAnsi="Times New Roman" w:eastAsia="宋体" w:cs="微软雅黑"/>
                <w:b/>
                <w:color w:val="000000"/>
                <w:sz w:val="24"/>
                <w:szCs w:val="24"/>
              </w:rPr>
            </w:pPr>
            <w:r>
              <w:rPr>
                <w:rFonts w:hint="eastAsia" w:ascii="Times New Roman" w:hAnsi="Times New Roman" w:eastAsia="宋体" w:cs="微软雅黑"/>
                <w:color w:val="000000"/>
                <w:sz w:val="24"/>
                <w:szCs w:val="24"/>
              </w:rPr>
              <w:t>通过开放基金的设立加强了重点实验室成员与其他单位教师特别是青年教师的合作交流，对重点实验室的三个重要研究方向，进行了有效的宣传和扶植，对实验室扩大学术影响力起到一定效果。基金的设立对相关老师的进步起到了一定的推动作用。开放基金的筛选由学术委员会把关，通过会议评审或通讯评审的方式，遴选出优秀的项目，规范对开放基金的管理，在立项项目中明确了要求成果标记重点实验室资助。</w:t>
            </w:r>
          </w:p>
          <w:p>
            <w:pPr>
              <w:adjustRightInd w:val="0"/>
              <w:snapToGrid w:val="0"/>
              <w:spacing w:line="400" w:lineRule="exact"/>
              <w:ind w:firstLine="480" w:firstLineChars="200"/>
              <w:jc w:val="left"/>
              <w:rPr>
                <w:rFonts w:ascii="Times New Roman" w:hAnsi="Times New Roman" w:eastAsia="宋体" w:cs="微软雅黑"/>
                <w:color w:val="000000"/>
                <w:sz w:val="24"/>
                <w:szCs w:val="24"/>
              </w:rPr>
            </w:pPr>
            <w:r>
              <w:rPr>
                <w:rFonts w:hint="eastAsia" w:ascii="Times New Roman" w:hAnsi="Times New Roman" w:eastAsia="宋体" w:cs="微软雅黑"/>
                <w:color w:val="000000"/>
                <w:sz w:val="24"/>
                <w:szCs w:val="24"/>
              </w:rPr>
              <w:t>在研基金项目的主持人，在201</w:t>
            </w:r>
            <w:r>
              <w:rPr>
                <w:rFonts w:ascii="Times New Roman" w:hAnsi="Times New Roman" w:eastAsia="宋体" w:cs="微软雅黑"/>
                <w:color w:val="000000"/>
                <w:sz w:val="24"/>
                <w:szCs w:val="24"/>
              </w:rPr>
              <w:t>7</w:t>
            </w:r>
            <w:r>
              <w:rPr>
                <w:rFonts w:hint="eastAsia" w:ascii="Times New Roman" w:hAnsi="Times New Roman" w:eastAsia="宋体" w:cs="微软雅黑"/>
                <w:color w:val="000000"/>
                <w:sz w:val="24"/>
                <w:szCs w:val="24"/>
              </w:rPr>
              <w:t>年发表了标注重点实验室资助的期刊论文共</w:t>
            </w:r>
            <w:r>
              <w:rPr>
                <w:rFonts w:ascii="Times New Roman" w:hAnsi="Times New Roman" w:eastAsia="宋体" w:cs="微软雅黑"/>
                <w:color w:val="000000"/>
                <w:sz w:val="24"/>
                <w:szCs w:val="24"/>
              </w:rPr>
              <w:t>7</w:t>
            </w:r>
            <w:r>
              <w:rPr>
                <w:rFonts w:hint="eastAsia" w:ascii="Times New Roman" w:hAnsi="Times New Roman" w:eastAsia="宋体" w:cs="微软雅黑"/>
                <w:color w:val="000000"/>
                <w:sz w:val="24"/>
                <w:szCs w:val="24"/>
              </w:rPr>
              <w:t>篇，其中SCI论文</w:t>
            </w:r>
            <w:r>
              <w:rPr>
                <w:rFonts w:ascii="Times New Roman" w:hAnsi="Times New Roman" w:eastAsia="宋体" w:cs="微软雅黑"/>
                <w:color w:val="000000"/>
                <w:sz w:val="24"/>
                <w:szCs w:val="24"/>
              </w:rPr>
              <w:t>3</w:t>
            </w:r>
            <w:r>
              <w:rPr>
                <w:rFonts w:hint="eastAsia" w:ascii="Times New Roman" w:hAnsi="Times New Roman" w:eastAsia="宋体" w:cs="微软雅黑"/>
                <w:color w:val="000000"/>
                <w:sz w:val="24"/>
                <w:szCs w:val="24"/>
              </w:rPr>
              <w:t>篇：</w:t>
            </w:r>
          </w:p>
          <w:p>
            <w:pPr>
              <w:adjustRightInd w:val="0"/>
              <w:snapToGrid w:val="0"/>
              <w:spacing w:beforeLines="20"/>
              <w:ind w:firstLine="480" w:firstLineChars="20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 xml:space="preserve">1. Pei D, </w:t>
            </w:r>
            <w:r>
              <w:rPr>
                <w:rFonts w:ascii="Times New Roman" w:hAnsi="Times New Roman" w:eastAsia="微软雅黑" w:cs="Times New Roman"/>
                <w:b/>
                <w:color w:val="000000"/>
                <w:sz w:val="24"/>
                <w:szCs w:val="24"/>
                <w:u w:val="single"/>
              </w:rPr>
              <w:t>Zhang A</w:t>
            </w:r>
            <w:r>
              <w:rPr>
                <w:rFonts w:ascii="Times New Roman" w:hAnsi="Times New Roman" w:eastAsia="微软雅黑" w:cs="Times New Roman"/>
                <w:color w:val="000000"/>
                <w:sz w:val="24"/>
                <w:szCs w:val="24"/>
              </w:rPr>
              <w:t>, Pan X, Si Y, Yu H. Electrochemical Sensing of Bisphenol A on Facet-Tailored TiO2 Single Crystals Engineered by Inorganic-Framework Molecular Imprinting Sites. Anal. Chem. 2017, available online.</w:t>
            </w:r>
          </w:p>
          <w:p>
            <w:pPr>
              <w:adjustRightInd w:val="0"/>
              <w:snapToGrid w:val="0"/>
              <w:spacing w:beforeLines="20"/>
              <w:ind w:firstLine="480" w:firstLineChars="20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 xml:space="preserve">2. </w:t>
            </w:r>
            <w:r>
              <w:rPr>
                <w:rFonts w:ascii="Times New Roman" w:hAnsi="Times New Roman" w:eastAsia="微软雅黑" w:cs="Times New Roman"/>
                <w:b/>
                <w:color w:val="000000"/>
                <w:sz w:val="24"/>
                <w:szCs w:val="24"/>
                <w:u w:val="single"/>
              </w:rPr>
              <w:t>Zhang Q</w:t>
            </w:r>
            <w:r>
              <w:rPr>
                <w:rFonts w:ascii="Times New Roman" w:hAnsi="Times New Roman" w:eastAsia="微软雅黑" w:cs="Times New Roman"/>
                <w:color w:val="000000"/>
                <w:sz w:val="24"/>
                <w:szCs w:val="24"/>
              </w:rPr>
              <w:t>, Wu L, Fang X, et al. Emission factors of volatile organic compounds (VOCs) based on the detailed vehicle classification in a tunnel study. Environ Sci Pollut Res. Science of the Total Environment 2018, 624, 878–886.</w:t>
            </w:r>
          </w:p>
          <w:p>
            <w:pPr>
              <w:adjustRightInd w:val="0"/>
              <w:snapToGrid w:val="0"/>
              <w:spacing w:beforeLines="20"/>
              <w:ind w:firstLine="480" w:firstLineChars="20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 xml:space="preserve">3. </w:t>
            </w:r>
            <w:r>
              <w:rPr>
                <w:rFonts w:ascii="Times New Roman" w:hAnsi="Times New Roman" w:eastAsia="微软雅黑" w:cs="Times New Roman"/>
                <w:b/>
                <w:color w:val="000000"/>
                <w:sz w:val="24"/>
                <w:szCs w:val="24"/>
                <w:u w:val="single"/>
              </w:rPr>
              <w:t>Li X</w:t>
            </w:r>
            <w:r>
              <w:rPr>
                <w:rFonts w:ascii="Times New Roman" w:hAnsi="Times New Roman" w:eastAsia="微软雅黑" w:cs="Times New Roman"/>
                <w:color w:val="000000"/>
                <w:sz w:val="24"/>
                <w:szCs w:val="24"/>
              </w:rPr>
              <w:t>, Zhao Q, Wang X, et al. Surfactants selectively reallocated the bacterial distribution in soil bioelectrochemical remediation of petroleum hydrocarbons. Journal of Hazardous Materials 2018, 344, 23–32.</w:t>
            </w:r>
          </w:p>
          <w:p>
            <w:pPr>
              <w:adjustRightInd w:val="0"/>
              <w:snapToGrid w:val="0"/>
              <w:spacing w:beforeLines="20"/>
              <w:ind w:firstLine="480" w:firstLineChars="20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 xml:space="preserve">4. </w:t>
            </w:r>
            <w:r>
              <w:rPr>
                <w:rFonts w:ascii="Times New Roman" w:hAnsi="Times New Roman" w:cs="Times New Roman"/>
                <w:sz w:val="24"/>
                <w:szCs w:val="24"/>
              </w:rPr>
              <w:t>汪</w:t>
            </w:r>
            <w:r>
              <w:rPr>
                <w:rFonts w:hint="eastAsia" w:ascii="宋体" w:hAnsi="宋体" w:eastAsia="宋体" w:cs="宋体"/>
                <w:sz w:val="24"/>
                <w:szCs w:val="24"/>
              </w:rPr>
              <w:t>庆</w:t>
            </w:r>
            <w:r>
              <w:rPr>
                <w:rFonts w:ascii="Times New Roman" w:hAnsi="Times New Roman" w:cs="Times New Roman"/>
                <w:sz w:val="24"/>
                <w:szCs w:val="24"/>
              </w:rPr>
              <w:t xml:space="preserve">, 罗义, </w:t>
            </w:r>
            <w:r>
              <w:rPr>
                <w:rFonts w:hint="eastAsia" w:ascii="宋体" w:hAnsi="宋体" w:eastAsia="宋体" w:cs="宋体"/>
                <w:sz w:val="24"/>
                <w:szCs w:val="24"/>
              </w:rPr>
              <w:t>崔玉</w:t>
            </w:r>
            <w:r>
              <w:rPr>
                <w:rFonts w:hint="eastAsia" w:ascii="___WRD_EMBED_SUB_327" w:hAnsi="___WRD_EMBED_SUB_327" w:eastAsia="___WRD_EMBED_SUB_327" w:cs="___WRD_EMBED_SUB_327"/>
                <w:sz w:val="24"/>
                <w:szCs w:val="24"/>
              </w:rPr>
              <w:t>晓</w:t>
            </w:r>
            <w:r>
              <w:rPr>
                <w:rFonts w:ascii="Times New Roman" w:hAnsi="Times New Roman" w:cs="Times New Roman"/>
                <w:sz w:val="24"/>
                <w:szCs w:val="24"/>
              </w:rPr>
              <w:t xml:space="preserve">, </w:t>
            </w:r>
            <w:r>
              <w:rPr>
                <w:rFonts w:hint="eastAsia" w:ascii="宋体" w:hAnsi="宋体" w:eastAsia="宋体" w:cs="宋体"/>
                <w:sz w:val="24"/>
                <w:szCs w:val="24"/>
              </w:rPr>
              <w:t>等</w:t>
            </w:r>
            <w:r>
              <w:rPr>
                <w:rFonts w:ascii="Times New Roman" w:hAnsi="Times New Roman" w:cs="Times New Roman"/>
                <w:sz w:val="24"/>
                <w:szCs w:val="24"/>
              </w:rPr>
              <w:t xml:space="preserve">. </w:t>
            </w:r>
            <w:r>
              <w:rPr>
                <w:rFonts w:hint="eastAsia" w:ascii="宋体" w:hAnsi="宋体" w:eastAsia="宋体" w:cs="宋体"/>
                <w:sz w:val="24"/>
                <w:szCs w:val="24"/>
              </w:rPr>
              <w:t>离</w:t>
            </w:r>
            <w:r>
              <w:rPr>
                <w:rFonts w:hint="eastAsia" w:ascii="___WRD_EMBED_SUB_327" w:hAnsi="___WRD_EMBED_SUB_327" w:eastAsia="___WRD_EMBED_SUB_327" w:cs="___WRD_EMBED_SUB_327"/>
                <w:sz w:val="24"/>
                <w:szCs w:val="24"/>
              </w:rPr>
              <w:t>子</w:t>
            </w:r>
            <w:r>
              <w:rPr>
                <w:rFonts w:hint="eastAsia" w:ascii="宋体" w:hAnsi="宋体" w:eastAsia="宋体" w:cs="宋体"/>
                <w:sz w:val="24"/>
                <w:szCs w:val="24"/>
              </w:rPr>
              <w:t>液</w:t>
            </w:r>
            <w:r>
              <w:rPr>
                <w:rFonts w:hint="eastAsia" w:ascii="___WRD_EMBED_SUB_327" w:hAnsi="___WRD_EMBED_SUB_327" w:eastAsia="___WRD_EMBED_SUB_327" w:cs="___WRD_EMBED_SUB_327"/>
                <w:sz w:val="24"/>
                <w:szCs w:val="24"/>
              </w:rPr>
              <w:t>体</w:t>
            </w:r>
            <w:r>
              <w:rPr>
                <w:rFonts w:ascii="Times New Roman" w:hAnsi="Times New Roman" w:cs="Times New Roman"/>
                <w:sz w:val="24"/>
                <w:szCs w:val="24"/>
              </w:rPr>
              <w:t>[BMIm][PF6]</w:t>
            </w:r>
            <w:r>
              <w:rPr>
                <w:rFonts w:hint="eastAsia" w:ascii="宋体" w:hAnsi="宋体" w:eastAsia="宋体" w:cs="宋体"/>
                <w:sz w:val="24"/>
                <w:szCs w:val="24"/>
              </w:rPr>
              <w:t>增强抗性质粒</w:t>
            </w:r>
            <w:r>
              <w:rPr>
                <w:rFonts w:ascii="Times New Roman" w:hAnsi="Times New Roman" w:cs="Times New Roman"/>
                <w:sz w:val="24"/>
                <w:szCs w:val="24"/>
              </w:rPr>
              <w:t>RP4</w:t>
            </w:r>
            <w:r>
              <w:rPr>
                <w:rFonts w:hint="eastAsia" w:ascii="宋体" w:hAnsi="宋体" w:eastAsia="宋体" w:cs="宋体"/>
                <w:sz w:val="24"/>
                <w:szCs w:val="24"/>
              </w:rPr>
              <w:t>介导</w:t>
            </w:r>
            <w:r>
              <w:rPr>
                <w:rFonts w:hint="eastAsia" w:ascii="___WRD_EMBED_SUB_327" w:hAnsi="___WRD_EMBED_SUB_327" w:eastAsia="___WRD_EMBED_SUB_327" w:cs="___WRD_EMBED_SUB_327"/>
                <w:sz w:val="24"/>
                <w:szCs w:val="24"/>
              </w:rPr>
              <w:t>的</w:t>
            </w:r>
            <w:r>
              <w:rPr>
                <w:rFonts w:hint="eastAsia" w:ascii="宋体" w:hAnsi="宋体" w:eastAsia="宋体" w:cs="宋体"/>
                <w:sz w:val="24"/>
                <w:szCs w:val="24"/>
              </w:rPr>
              <w:t>接</w:t>
            </w:r>
            <w:r>
              <w:rPr>
                <w:rFonts w:hint="eastAsia" w:ascii="___WRD_EMBED_SUB_327" w:hAnsi="___WRD_EMBED_SUB_327" w:eastAsia="___WRD_EMBED_SUB_327" w:cs="___WRD_EMBED_SUB_327"/>
                <w:sz w:val="24"/>
                <w:szCs w:val="24"/>
              </w:rPr>
              <w:t>合转移基因</w:t>
            </w:r>
            <w:r>
              <w:rPr>
                <w:rFonts w:ascii="Times New Roman" w:hAnsi="Times New Roman" w:cs="Times New Roman"/>
                <w:sz w:val="24"/>
                <w:szCs w:val="24"/>
              </w:rPr>
              <w:t>mRNA的</w:t>
            </w:r>
            <w:r>
              <w:rPr>
                <w:rFonts w:hint="eastAsia" w:ascii="宋体" w:hAnsi="宋体" w:eastAsia="宋体" w:cs="宋体"/>
                <w:sz w:val="24"/>
                <w:szCs w:val="24"/>
              </w:rPr>
              <w:t>表</w:t>
            </w:r>
            <w:r>
              <w:rPr>
                <w:rFonts w:hint="eastAsia" w:ascii="___WRD_EMBED_SUB_327" w:hAnsi="___WRD_EMBED_SUB_327" w:eastAsia="___WRD_EMBED_SUB_327" w:cs="___WRD_EMBED_SUB_327"/>
                <w:sz w:val="24"/>
                <w:szCs w:val="24"/>
              </w:rPr>
              <w:t>达水平</w:t>
            </w:r>
            <w:r>
              <w:rPr>
                <w:rFonts w:ascii="Times New Roman" w:hAnsi="Times New Roman" w:cs="Times New Roman"/>
                <w:sz w:val="24"/>
                <w:szCs w:val="24"/>
              </w:rPr>
              <w:t>[J]. 生态</w:t>
            </w:r>
            <w:r>
              <w:rPr>
                <w:rFonts w:hint="eastAsia" w:ascii="宋体" w:hAnsi="宋体" w:eastAsia="宋体" w:cs="宋体"/>
                <w:sz w:val="24"/>
                <w:szCs w:val="24"/>
              </w:rPr>
              <w:t>毒</w:t>
            </w:r>
            <w:r>
              <w:rPr>
                <w:rFonts w:hint="eastAsia" w:ascii="___WRD_EMBED_SUB_327" w:hAnsi="___WRD_EMBED_SUB_327" w:eastAsia="___WRD_EMBED_SUB_327" w:cs="___WRD_EMBED_SUB_327"/>
                <w:sz w:val="24"/>
                <w:szCs w:val="24"/>
              </w:rPr>
              <w:t>理学报</w:t>
            </w:r>
            <w:r>
              <w:rPr>
                <w:rFonts w:ascii="Times New Roman" w:hAnsi="Times New Roman" w:cs="Times New Roman"/>
                <w:sz w:val="24"/>
                <w:szCs w:val="24"/>
              </w:rPr>
              <w:t>, 2017, 12</w:t>
            </w:r>
            <w:r>
              <w:rPr>
                <w:rFonts w:ascii="Times New Roman" w:hAnsi="Times New Roman" w:eastAsia="微软雅黑" w:cs="Times New Roman"/>
                <w:color w:val="000000"/>
                <w:sz w:val="24"/>
                <w:szCs w:val="24"/>
              </w:rPr>
              <w:t>,</w:t>
            </w:r>
            <w:r>
              <w:rPr>
                <w:rFonts w:ascii="Times New Roman" w:hAnsi="Times New Roman" w:cs="Times New Roman"/>
                <w:sz w:val="24"/>
                <w:szCs w:val="24"/>
              </w:rPr>
              <w:t xml:space="preserve"> </w:t>
            </w:r>
            <w:r>
              <w:rPr>
                <w:rFonts w:ascii="Times New Roman" w:hAnsi="Times New Roman" w:eastAsia="微软雅黑" w:cs="Times New Roman"/>
                <w:color w:val="000000"/>
                <w:sz w:val="24"/>
                <w:szCs w:val="24"/>
              </w:rPr>
              <w:t>273-281.</w:t>
            </w:r>
          </w:p>
          <w:p>
            <w:pPr>
              <w:adjustRightInd w:val="0"/>
              <w:snapToGrid w:val="0"/>
              <w:spacing w:beforeLines="20"/>
              <w:ind w:firstLine="480" w:firstLineChars="20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5. 王乙震，张俊，周绪申，等. 白洋淀多环芳烃与有机氯农药季节性污染特征及来源分析. 环境科学, 2017, 38: 964-978.</w:t>
            </w:r>
          </w:p>
          <w:p>
            <w:pPr>
              <w:adjustRightInd w:val="0"/>
              <w:snapToGrid w:val="0"/>
              <w:spacing w:beforeLines="20"/>
              <w:ind w:firstLine="420" w:firstLineChars="200"/>
              <w:rPr>
                <w:rFonts w:ascii="Times New Roman" w:hAnsi="Times New Roman" w:eastAsia="微软雅黑" w:cs="Times New Roman"/>
                <w:color w:val="000000"/>
                <w:sz w:val="24"/>
                <w:szCs w:val="24"/>
              </w:rPr>
            </w:pPr>
            <w:r>
              <w:rPr>
                <w:rFonts w:hint="eastAsia"/>
              </w:rPr>
              <w:t>6</w:t>
            </w:r>
            <w:r>
              <w:t xml:space="preserve">. </w:t>
            </w:r>
            <w:r>
              <w:rPr>
                <w:rFonts w:ascii="Times New Roman" w:hAnsi="Times New Roman" w:eastAsia="微软雅黑" w:cs="Times New Roman"/>
                <w:color w:val="000000"/>
                <w:sz w:val="24"/>
                <w:szCs w:val="24"/>
              </w:rPr>
              <w:t>王乙震，张世禄，孔凡青，等. 滦河干流水体多环芳烃与有机氯农药季节性分布、组成及源解析. 环境科学, 2017, 38: 4194-4211.</w:t>
            </w:r>
          </w:p>
          <w:p>
            <w:pPr>
              <w:adjustRightInd w:val="0"/>
              <w:snapToGrid w:val="0"/>
              <w:spacing w:beforeLines="20"/>
              <w:ind w:firstLine="480" w:firstLineChars="200"/>
              <w:rPr>
                <w:rFonts w:ascii="宋体" w:hAnsi="宋体" w:eastAsia="宋体" w:cs="宋体"/>
                <w:color w:val="000000"/>
                <w:sz w:val="24"/>
                <w:szCs w:val="24"/>
              </w:rPr>
            </w:pPr>
            <w:r>
              <w:rPr>
                <w:rFonts w:ascii="Times New Roman" w:hAnsi="Times New Roman" w:eastAsia="微软雅黑" w:cs="Times New Roman"/>
                <w:color w:val="000000"/>
                <w:sz w:val="24"/>
                <w:szCs w:val="24"/>
              </w:rPr>
              <w:t xml:space="preserve">7. </w:t>
            </w:r>
            <w:r>
              <w:rPr>
                <w:rFonts w:hint="eastAsia" w:ascii="宋体" w:hAnsi="宋体" w:eastAsia="宋体" w:cs="宋体"/>
                <w:color w:val="000000"/>
                <w:sz w:val="24"/>
                <w:szCs w:val="24"/>
              </w:rPr>
              <w:t>李晓晶，赵倩，张月勇，王鑫，万丽丽，李永涛。微生物燃料电池修复石油污染盐碱土壤</w:t>
            </w:r>
            <w:r>
              <w:rPr>
                <w:rFonts w:ascii="宋体" w:hAnsi="宋体" w:eastAsia="宋体" w:cs="宋体"/>
                <w:color w:val="000000"/>
                <w:sz w:val="24"/>
                <w:szCs w:val="24"/>
              </w:rPr>
              <w:t>，</w:t>
            </w:r>
            <w:r>
              <w:rPr>
                <w:rFonts w:hint="eastAsia" w:ascii="宋体" w:hAnsi="宋体" w:eastAsia="宋体" w:cs="宋体"/>
                <w:color w:val="000000"/>
                <w:sz w:val="24"/>
                <w:szCs w:val="24"/>
              </w:rPr>
              <w:t>环境工程</w:t>
            </w:r>
            <w:r>
              <w:rPr>
                <w:rFonts w:ascii="宋体" w:hAnsi="宋体" w:eastAsia="宋体" w:cs="宋体"/>
                <w:color w:val="000000"/>
                <w:sz w:val="24"/>
                <w:szCs w:val="24"/>
              </w:rPr>
              <w:t>学报，</w:t>
            </w:r>
            <w:r>
              <w:rPr>
                <w:rFonts w:hint="eastAsia" w:ascii="宋体" w:hAnsi="宋体" w:eastAsia="宋体" w:cs="宋体"/>
                <w:color w:val="000000"/>
                <w:sz w:val="24"/>
                <w:szCs w:val="24"/>
              </w:rPr>
              <w:t>201</w:t>
            </w:r>
            <w:r>
              <w:rPr>
                <w:rFonts w:ascii="宋体" w:hAnsi="宋体" w:eastAsia="宋体" w:cs="宋体"/>
                <w:color w:val="000000"/>
                <w:sz w:val="24"/>
                <w:szCs w:val="24"/>
              </w:rPr>
              <w:t>7</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11, </w:t>
            </w:r>
            <w:r>
              <w:rPr>
                <w:rFonts w:hint="eastAsia" w:ascii="宋体" w:hAnsi="宋体" w:eastAsia="宋体" w:cs="宋体"/>
                <w:color w:val="000000"/>
                <w:sz w:val="24"/>
                <w:szCs w:val="24"/>
              </w:rPr>
              <w:t>1</w:t>
            </w:r>
            <w:r>
              <w:rPr>
                <w:rFonts w:ascii="宋体" w:hAnsi="宋体" w:eastAsia="宋体" w:cs="宋体"/>
                <w:color w:val="000000"/>
                <w:sz w:val="24"/>
                <w:szCs w:val="24"/>
              </w:rPr>
              <w:t>185-1191.</w:t>
            </w:r>
          </w:p>
          <w:p>
            <w:pPr>
              <w:adjustRightInd w:val="0"/>
              <w:snapToGrid w:val="0"/>
              <w:spacing w:beforeLines="20"/>
              <w:ind w:firstLine="482" w:firstLineChars="200"/>
              <w:jc w:val="center"/>
              <w:rPr>
                <w:rFonts w:ascii="宋体" w:hAnsi="宋体" w:eastAsia="宋体" w:cs="宋体"/>
                <w:b/>
                <w:color w:val="000000"/>
                <w:sz w:val="24"/>
                <w:szCs w:val="24"/>
              </w:rPr>
            </w:pPr>
            <w:r>
              <w:rPr>
                <w:rFonts w:hint="eastAsia" w:ascii="宋体" w:hAnsi="宋体" w:eastAsia="宋体" w:cs="宋体"/>
                <w:b/>
                <w:color w:val="000000"/>
                <w:sz w:val="24"/>
                <w:szCs w:val="24"/>
              </w:rPr>
              <w:t>表 开放课题资助情况一览表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序号</w:t>
            </w:r>
          </w:p>
        </w:tc>
        <w:tc>
          <w:tcPr>
            <w:tcW w:w="2112"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课题名称</w:t>
            </w:r>
          </w:p>
        </w:tc>
        <w:tc>
          <w:tcPr>
            <w:tcW w:w="861"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经费额度</w:t>
            </w:r>
          </w:p>
        </w:tc>
        <w:tc>
          <w:tcPr>
            <w:tcW w:w="827"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承担人</w:t>
            </w:r>
          </w:p>
        </w:tc>
        <w:tc>
          <w:tcPr>
            <w:tcW w:w="826"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职称</w:t>
            </w:r>
          </w:p>
        </w:tc>
        <w:tc>
          <w:tcPr>
            <w:tcW w:w="1521"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承担人单位</w:t>
            </w:r>
          </w:p>
        </w:tc>
        <w:tc>
          <w:tcPr>
            <w:tcW w:w="1948" w:type="dxa"/>
            <w:tcMar>
              <w:left w:w="0" w:type="dxa"/>
              <w:right w:w="0" w:type="dxa"/>
            </w:tcMar>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课题起止时间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1</w:t>
            </w:r>
          </w:p>
        </w:tc>
        <w:tc>
          <w:tcPr>
            <w:tcW w:w="2112" w:type="dxa"/>
            <w:vAlign w:val="center"/>
          </w:tcPr>
          <w:p>
            <w:pPr>
              <w:widowControl/>
              <w:jc w:val="center"/>
              <w:rPr>
                <w:rFonts w:ascii="Times New Roman" w:hAnsi="Times New Roman" w:eastAsia="宋体" w:cs="宋体"/>
                <w:kern w:val="0"/>
                <w:szCs w:val="21"/>
              </w:rPr>
            </w:pPr>
            <w:r>
              <w:rPr>
                <w:rFonts w:ascii="Times New Roman" w:hAnsi="Times New Roman" w:eastAsia="宋体" w:cs="Times New Roman"/>
                <w:bCs/>
                <w:position w:val="6"/>
                <w:szCs w:val="21"/>
              </w:rPr>
              <w:t>油白菜中六溴环十二烷异构体的代谢机理</w:t>
            </w:r>
          </w:p>
        </w:tc>
        <w:tc>
          <w:tcPr>
            <w:tcW w:w="861" w:type="dxa"/>
            <w:vAlign w:val="center"/>
          </w:tcPr>
          <w:p>
            <w:pPr>
              <w:widowControl/>
              <w:jc w:val="center"/>
              <w:rPr>
                <w:rFonts w:ascii="Times New Roman" w:hAnsi="Times New Roman" w:eastAsia="宋体" w:cs="宋体"/>
                <w:kern w:val="0"/>
                <w:szCs w:val="21"/>
              </w:rPr>
            </w:pPr>
            <w:r>
              <w:rPr>
                <w:rFonts w:ascii="Times New Roman" w:hAnsi="Times New Roman" w:eastAsia="宋体" w:cs="宋体"/>
                <w:szCs w:val="21"/>
              </w:rPr>
              <w:t>2</w:t>
            </w:r>
            <w:r>
              <w:rPr>
                <w:rFonts w:hint="eastAsia" w:ascii="Times New Roman" w:hAnsi="Times New Roman" w:eastAsia="宋体" w:cs="宋体"/>
                <w:szCs w:val="21"/>
              </w:rPr>
              <w:t>万元</w:t>
            </w:r>
          </w:p>
        </w:tc>
        <w:tc>
          <w:tcPr>
            <w:tcW w:w="827" w:type="dxa"/>
            <w:vAlign w:val="center"/>
          </w:tcPr>
          <w:p>
            <w:pPr>
              <w:widowControl/>
              <w:jc w:val="center"/>
              <w:rPr>
                <w:rFonts w:ascii="Times New Roman" w:hAnsi="Times New Roman" w:eastAsia="宋体" w:cs="宋体"/>
                <w:kern w:val="0"/>
                <w:szCs w:val="21"/>
              </w:rPr>
            </w:pPr>
            <w:r>
              <w:rPr>
                <w:rFonts w:ascii="Times New Roman" w:hAnsi="Times New Roman" w:eastAsia="宋体" w:cs="Times New Roman"/>
                <w:position w:val="6"/>
                <w:szCs w:val="21"/>
              </w:rPr>
              <w:t>张艳伟</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Times New Roman"/>
                <w:position w:val="6"/>
                <w:szCs w:val="21"/>
              </w:rPr>
              <w:t>助理研究员</w:t>
            </w:r>
          </w:p>
        </w:tc>
        <w:tc>
          <w:tcPr>
            <w:tcW w:w="1521" w:type="dxa"/>
            <w:vAlign w:val="center"/>
          </w:tcPr>
          <w:p>
            <w:pPr>
              <w:jc w:val="center"/>
              <w:rPr>
                <w:rFonts w:ascii="Times New Roman" w:hAnsi="Times New Roman" w:eastAsia="宋体" w:cs="宋体"/>
                <w:color w:val="000000"/>
                <w:szCs w:val="21"/>
              </w:rPr>
            </w:pPr>
            <w:r>
              <w:rPr>
                <w:rFonts w:ascii="Times New Roman" w:hAnsi="Times New Roman" w:eastAsia="宋体" w:cs="宋体"/>
                <w:szCs w:val="21"/>
              </w:rPr>
              <w:t>农业部环境保护科研监测所</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宋体"/>
                <w:szCs w:val="21"/>
              </w:rPr>
              <w:t>2015.10-2017.9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2</w:t>
            </w:r>
          </w:p>
        </w:tc>
        <w:tc>
          <w:tcPr>
            <w:tcW w:w="2112" w:type="dxa"/>
            <w:vAlign w:val="center"/>
          </w:tcPr>
          <w:p>
            <w:pPr>
              <w:widowControl/>
              <w:jc w:val="center"/>
              <w:rPr>
                <w:rFonts w:ascii="Times New Roman" w:hAnsi="Times New Roman" w:eastAsia="宋体" w:cs="宋体"/>
                <w:kern w:val="0"/>
                <w:szCs w:val="21"/>
              </w:rPr>
            </w:pPr>
            <w:r>
              <w:rPr>
                <w:rFonts w:ascii="Times New Roman" w:hAnsi="Times New Roman" w:eastAsia="宋体" w:cs="Times New Roman"/>
                <w:position w:val="6"/>
                <w:szCs w:val="21"/>
              </w:rPr>
              <w:t>滦河和永定河水系典型有机污染物污染特征</w:t>
            </w:r>
            <w:r>
              <w:rPr>
                <w:rFonts w:hint="eastAsia" w:ascii="Times New Roman" w:hAnsi="Times New Roman" w:eastAsia="宋体" w:cs="Times New Roman"/>
                <w:position w:val="6"/>
                <w:szCs w:val="21"/>
              </w:rPr>
              <w:t>研究</w:t>
            </w:r>
          </w:p>
        </w:tc>
        <w:tc>
          <w:tcPr>
            <w:tcW w:w="861" w:type="dxa"/>
            <w:vAlign w:val="center"/>
          </w:tcPr>
          <w:p>
            <w:pPr>
              <w:widowControl/>
              <w:jc w:val="center"/>
              <w:rPr>
                <w:rFonts w:ascii="Times New Roman" w:hAnsi="Times New Roman" w:eastAsia="宋体" w:cs="宋体"/>
                <w:kern w:val="0"/>
                <w:szCs w:val="21"/>
              </w:rPr>
            </w:pPr>
            <w:r>
              <w:rPr>
                <w:rFonts w:ascii="Times New Roman" w:hAnsi="Times New Roman" w:eastAsia="宋体" w:cs="宋体"/>
                <w:szCs w:val="21"/>
              </w:rPr>
              <w:t>2</w:t>
            </w:r>
            <w:r>
              <w:rPr>
                <w:rFonts w:hint="eastAsia" w:ascii="Times New Roman" w:hAnsi="Times New Roman" w:eastAsia="宋体" w:cs="宋体"/>
                <w:szCs w:val="21"/>
              </w:rPr>
              <w:t>万元</w:t>
            </w:r>
          </w:p>
        </w:tc>
        <w:tc>
          <w:tcPr>
            <w:tcW w:w="827" w:type="dxa"/>
            <w:vAlign w:val="center"/>
          </w:tcPr>
          <w:p>
            <w:pPr>
              <w:widowControl/>
              <w:jc w:val="center"/>
              <w:rPr>
                <w:rFonts w:ascii="Times New Roman" w:hAnsi="Times New Roman" w:eastAsia="宋体" w:cs="宋体"/>
                <w:kern w:val="0"/>
                <w:szCs w:val="21"/>
              </w:rPr>
            </w:pPr>
            <w:r>
              <w:rPr>
                <w:rFonts w:ascii="Times New Roman" w:hAnsi="Times New Roman" w:eastAsia="宋体" w:cs="Times New Roman"/>
                <w:position w:val="6"/>
                <w:szCs w:val="21"/>
              </w:rPr>
              <w:t>王乙震</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Times New Roman"/>
                <w:position w:val="6"/>
                <w:szCs w:val="21"/>
              </w:rPr>
              <w:t>工程师</w:t>
            </w:r>
          </w:p>
        </w:tc>
        <w:tc>
          <w:tcPr>
            <w:tcW w:w="1521" w:type="dxa"/>
            <w:vAlign w:val="center"/>
          </w:tcPr>
          <w:p>
            <w:pPr>
              <w:widowControl/>
              <w:jc w:val="center"/>
              <w:rPr>
                <w:rFonts w:ascii="Times New Roman" w:hAnsi="Times New Roman" w:eastAsia="宋体" w:cs="宋体"/>
                <w:kern w:val="0"/>
                <w:szCs w:val="21"/>
              </w:rPr>
            </w:pPr>
            <w:r>
              <w:rPr>
                <w:rFonts w:ascii="Times New Roman" w:hAnsi="Times New Roman" w:eastAsia="宋体" w:cs="Times New Roman"/>
                <w:position w:val="6"/>
                <w:szCs w:val="21"/>
              </w:rPr>
              <w:t>海河流域水环境监测中心</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宋体"/>
                <w:szCs w:val="21"/>
              </w:rPr>
              <w:t>2015.10-2017.9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3</w:t>
            </w:r>
          </w:p>
        </w:tc>
        <w:tc>
          <w:tcPr>
            <w:tcW w:w="2112"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szCs w:val="21"/>
              </w:rPr>
              <w:t>GO复合重金属污染生物毒性的筛选及控制技术</w:t>
            </w:r>
          </w:p>
        </w:tc>
        <w:tc>
          <w:tcPr>
            <w:tcW w:w="861" w:type="dxa"/>
            <w:vAlign w:val="center"/>
          </w:tcPr>
          <w:p>
            <w:pPr>
              <w:widowControl/>
              <w:jc w:val="center"/>
              <w:rPr>
                <w:rFonts w:ascii="Times New Roman" w:hAnsi="Times New Roman" w:eastAsia="宋体" w:cs="宋体"/>
                <w:kern w:val="0"/>
                <w:szCs w:val="21"/>
              </w:rPr>
            </w:pPr>
            <w:r>
              <w:rPr>
                <w:rFonts w:ascii="Times New Roman" w:hAnsi="Times New Roman" w:eastAsia="宋体" w:cs="宋体"/>
                <w:szCs w:val="21"/>
              </w:rPr>
              <w:t>2</w:t>
            </w:r>
            <w:r>
              <w:rPr>
                <w:rFonts w:hint="eastAsia" w:ascii="Times New Roman" w:hAnsi="Times New Roman" w:eastAsia="宋体" w:cs="宋体"/>
                <w:szCs w:val="21"/>
              </w:rPr>
              <w:t>万元</w:t>
            </w:r>
          </w:p>
        </w:tc>
        <w:tc>
          <w:tcPr>
            <w:tcW w:w="827" w:type="dxa"/>
            <w:vAlign w:val="center"/>
          </w:tcPr>
          <w:p>
            <w:pPr>
              <w:widowControl/>
              <w:jc w:val="center"/>
              <w:rPr>
                <w:rFonts w:ascii="Times New Roman" w:hAnsi="Times New Roman" w:eastAsia="宋体" w:cs="宋体"/>
                <w:kern w:val="0"/>
                <w:szCs w:val="21"/>
              </w:rPr>
            </w:pPr>
            <w:r>
              <w:rPr>
                <w:rFonts w:ascii="Times New Roman" w:hAnsi="Times New Roman" w:eastAsia="宋体" w:cs="宋体"/>
                <w:szCs w:val="21"/>
              </w:rPr>
              <w:t>穆莉</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宋体"/>
                <w:szCs w:val="21"/>
              </w:rPr>
              <w:t>助理研究员</w:t>
            </w:r>
          </w:p>
        </w:tc>
        <w:tc>
          <w:tcPr>
            <w:tcW w:w="1521" w:type="dxa"/>
            <w:vAlign w:val="center"/>
          </w:tcPr>
          <w:p>
            <w:pPr>
              <w:widowControl/>
              <w:jc w:val="center"/>
              <w:rPr>
                <w:rFonts w:ascii="Times New Roman" w:hAnsi="Times New Roman" w:eastAsia="宋体" w:cs="宋体"/>
                <w:kern w:val="0"/>
                <w:szCs w:val="21"/>
              </w:rPr>
            </w:pPr>
            <w:r>
              <w:rPr>
                <w:rFonts w:ascii="Times New Roman" w:hAnsi="Times New Roman" w:eastAsia="宋体" w:cs="宋体"/>
                <w:szCs w:val="21"/>
              </w:rPr>
              <w:t>农业部环境保护科研监测所</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ascii="Times New Roman" w:hAnsi="Times New Roman" w:eastAsia="宋体" w:cs="宋体"/>
                <w:szCs w:val="21"/>
              </w:rPr>
              <w:t>2015.10-2017.9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4</w:t>
            </w:r>
          </w:p>
        </w:tc>
        <w:tc>
          <w:tcPr>
            <w:tcW w:w="2112"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微宇宙水环境中咪唑类离子液体促进抗生素抗性基因水平转移的机制研究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2万</w:t>
            </w:r>
          </w:p>
        </w:tc>
        <w:tc>
          <w:tcPr>
            <w:tcW w:w="827"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olor w:val="000000"/>
                <w:szCs w:val="21"/>
              </w:rPr>
              <w:t>汪庆</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讲师</w:t>
            </w:r>
          </w:p>
        </w:tc>
        <w:tc>
          <w:tcPr>
            <w:tcW w:w="1521" w:type="dxa"/>
            <w:vAlign w:val="center"/>
          </w:tcPr>
          <w:p>
            <w:pPr>
              <w:jc w:val="center"/>
              <w:rPr>
                <w:rFonts w:ascii="Times New Roman" w:hAnsi="Times New Roman" w:eastAsia="宋体" w:cs="宋体"/>
                <w:color w:val="000000"/>
                <w:szCs w:val="21"/>
              </w:rPr>
            </w:pPr>
            <w:r>
              <w:rPr>
                <w:rFonts w:hint="eastAsia" w:ascii="Times New Roman" w:hAnsi="Times New Roman" w:eastAsia="宋体"/>
                <w:color w:val="000000"/>
                <w:szCs w:val="21"/>
              </w:rPr>
              <w:t>河北工程大学</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2016.9-2018.12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5</w:t>
            </w:r>
          </w:p>
        </w:tc>
        <w:tc>
          <w:tcPr>
            <w:tcW w:w="2112"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生物炭与土壤有机质相互作用机制及其对阿特拉津和菲吸附行为的影响</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2万</w:t>
            </w:r>
          </w:p>
        </w:tc>
        <w:tc>
          <w:tcPr>
            <w:tcW w:w="827"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olor w:val="000000"/>
                <w:szCs w:val="21"/>
              </w:rPr>
              <w:t>任心豪</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讲师</w:t>
            </w:r>
          </w:p>
        </w:tc>
        <w:tc>
          <w:tcPr>
            <w:tcW w:w="152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陕西科技大学</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2016.9-2018.12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Times New Roman" w:hAnsi="Times New Roman" w:eastAsia="楷体_GB2312" w:cs="Times New Roman"/>
                <w:sz w:val="24"/>
                <w:szCs w:val="24"/>
              </w:rPr>
            </w:pPr>
            <w:r>
              <w:rPr>
                <w:rFonts w:hint="eastAsia" w:ascii="宋体" w:hAnsi="宋体" w:eastAsia="宋体" w:cs="宋体"/>
                <w:sz w:val="24"/>
                <w:szCs w:val="24"/>
              </w:rPr>
              <w:t>6</w:t>
            </w:r>
          </w:p>
        </w:tc>
        <w:tc>
          <w:tcPr>
            <w:tcW w:w="2112"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畜禽粪便有机肥施用对土壤硝化细菌的分子生态效应及其作用机制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2万</w:t>
            </w:r>
          </w:p>
        </w:tc>
        <w:tc>
          <w:tcPr>
            <w:tcW w:w="827"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olor w:val="000000"/>
                <w:szCs w:val="21"/>
              </w:rPr>
              <w:t>余彬彬</w:t>
            </w:r>
          </w:p>
        </w:tc>
        <w:tc>
          <w:tcPr>
            <w:tcW w:w="826"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讲师</w:t>
            </w:r>
          </w:p>
        </w:tc>
        <w:tc>
          <w:tcPr>
            <w:tcW w:w="152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扬州大学</w:t>
            </w:r>
          </w:p>
        </w:tc>
        <w:tc>
          <w:tcPr>
            <w:tcW w:w="1948" w:type="dxa"/>
            <w:vAlign w:val="center"/>
          </w:tcPr>
          <w:p>
            <w:pPr>
              <w:adjustRightInd w:val="0"/>
              <w:snapToGrid w:val="0"/>
              <w:ind w:firstLine="18" w:firstLineChars="9"/>
              <w:rPr>
                <w:rFonts w:ascii="Times New Roman" w:hAnsi="Times New Roman" w:eastAsia="宋体" w:cs="Times New Roman"/>
                <w:szCs w:val="21"/>
              </w:rPr>
            </w:pPr>
            <w:r>
              <w:rPr>
                <w:rFonts w:hint="eastAsia" w:ascii="Times New Roman" w:hAnsi="Times New Roman" w:eastAsia="宋体" w:cs="宋体"/>
                <w:szCs w:val="21"/>
              </w:rPr>
              <w:t>2016.9-2018.12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7</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典型有机磷阻燃剂在城市湿地系统多环境介质中分布特征及健康风险评</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Times New Roman" w:hAnsi="Times New Roman" w:eastAsia="宋体"/>
                <w:szCs w:val="21"/>
              </w:rPr>
              <w:t>张启钧  </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讲师</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天津城建大学环境与市政工程学院</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8</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污染土壤制备多孔陶粒及其土壤修复技术和机理研究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张志远</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助理研究员</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中国科学院生态环境研究中心</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9</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城市污水处理系统中甲基硅氧烷的迁移转化规律研究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刘楠楠</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讲师</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天津城建大学环境与市政工程学院</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10</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设施农田中木醋液与农药增效减施技术研究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程文娟</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副研究员</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天津市农业资源与环境研究所</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11</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PAHs污染土壤微生物电化学原位修复机理研究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李晓晶</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助理研究员</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农业部环境保护科研监测所</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12</w:t>
            </w:r>
          </w:p>
        </w:tc>
        <w:tc>
          <w:tcPr>
            <w:tcW w:w="2112" w:type="dxa"/>
            <w:vAlign w:val="top"/>
          </w:tcPr>
          <w:p>
            <w:pPr>
              <w:widowControl/>
              <w:jc w:val="center"/>
              <w:rPr>
                <w:rFonts w:ascii="Times New Roman" w:hAnsi="Times New Roman" w:eastAsia="宋体" w:cs="宋体"/>
                <w:kern w:val="0"/>
                <w:szCs w:val="21"/>
              </w:rPr>
            </w:pPr>
            <w:r>
              <w:rPr>
                <w:rFonts w:hint="eastAsia" w:ascii="宋体" w:hAnsi="宋体" w:eastAsia="宋体" w:cs="宋体"/>
                <w:kern w:val="0"/>
                <w:sz w:val="22"/>
              </w:rPr>
              <w:t>溶解性黑碳载带菲在水-土环境中的迁移机制研究</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王方</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助理研究员</w:t>
            </w:r>
          </w:p>
        </w:tc>
        <w:tc>
          <w:tcPr>
            <w:tcW w:w="1521"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天津师范大学水资源与水环境重点实验室</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9" w:type="dxa"/>
            <w:vAlign w:val="center"/>
          </w:tcPr>
          <w:p>
            <w:pPr>
              <w:adjustRightInd w:val="0"/>
              <w:snapToGrid w:val="0"/>
              <w:ind w:firstLine="21" w:firstLineChars="9"/>
              <w:rPr>
                <w:rFonts w:ascii="宋体" w:hAnsi="宋体" w:eastAsia="宋体" w:cs="宋体"/>
                <w:sz w:val="24"/>
                <w:szCs w:val="24"/>
              </w:rPr>
            </w:pPr>
            <w:r>
              <w:rPr>
                <w:rFonts w:hint="eastAsia" w:ascii="宋体" w:hAnsi="宋体" w:eastAsia="宋体" w:cs="宋体"/>
                <w:sz w:val="24"/>
                <w:szCs w:val="24"/>
              </w:rPr>
              <w:t>13</w:t>
            </w:r>
          </w:p>
        </w:tc>
        <w:tc>
          <w:tcPr>
            <w:tcW w:w="2112" w:type="dxa"/>
            <w:vAlign w:val="bottom"/>
          </w:tcPr>
          <w:p>
            <w:pPr>
              <w:widowControl/>
              <w:jc w:val="center"/>
              <w:rPr>
                <w:rFonts w:ascii="Times New Roman" w:hAnsi="Times New Roman" w:eastAsia="宋体" w:cs="宋体"/>
                <w:kern w:val="0"/>
                <w:szCs w:val="21"/>
              </w:rPr>
            </w:pPr>
            <w:r>
              <w:rPr>
                <w:rFonts w:hint="eastAsia" w:ascii="宋体" w:hAnsi="宋体" w:eastAsia="宋体" w:cs="宋体"/>
                <w:kern w:val="0"/>
                <w:sz w:val="22"/>
              </w:rPr>
              <w:t>新型电化学检测器的构建及其对环境中典型持久性有机污染物的检测</w:t>
            </w:r>
          </w:p>
        </w:tc>
        <w:tc>
          <w:tcPr>
            <w:tcW w:w="861" w:type="dxa"/>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4万</w:t>
            </w:r>
          </w:p>
        </w:tc>
        <w:tc>
          <w:tcPr>
            <w:tcW w:w="827" w:type="dxa"/>
            <w:vAlign w:val="center"/>
          </w:tcPr>
          <w:p>
            <w:pPr>
              <w:widowControl/>
              <w:jc w:val="center"/>
              <w:rPr>
                <w:rFonts w:ascii="Times New Roman" w:hAnsi="Times New Roman" w:eastAsia="宋体"/>
                <w:szCs w:val="21"/>
              </w:rPr>
            </w:pPr>
            <w:r>
              <w:rPr>
                <w:rFonts w:hint="eastAsia" w:ascii="宋体" w:hAnsi="宋体" w:eastAsia="宋体" w:cs="宋体"/>
                <w:kern w:val="0"/>
                <w:sz w:val="22"/>
              </w:rPr>
              <w:t>张爱勇</w:t>
            </w:r>
          </w:p>
        </w:tc>
        <w:tc>
          <w:tcPr>
            <w:tcW w:w="826"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副教授</w:t>
            </w:r>
          </w:p>
        </w:tc>
        <w:tc>
          <w:tcPr>
            <w:tcW w:w="1521" w:type="dxa"/>
            <w:vAlign w:val="bottom"/>
          </w:tcPr>
          <w:p>
            <w:pPr>
              <w:widowControl/>
              <w:rPr>
                <w:rFonts w:ascii="Times New Roman" w:hAnsi="Times New Roman" w:eastAsia="宋体" w:cs="宋体"/>
                <w:kern w:val="0"/>
                <w:szCs w:val="21"/>
              </w:rPr>
            </w:pPr>
            <w:r>
              <w:rPr>
                <w:rFonts w:hint="eastAsia" w:ascii="宋体" w:hAnsi="宋体" w:eastAsia="宋体" w:cs="宋体"/>
                <w:kern w:val="0"/>
                <w:sz w:val="22"/>
              </w:rPr>
              <w:t>合肥工业大学</w:t>
            </w:r>
          </w:p>
        </w:tc>
        <w:tc>
          <w:tcPr>
            <w:tcW w:w="1948" w:type="dxa"/>
            <w:vAlign w:val="center"/>
          </w:tcPr>
          <w:p>
            <w:pPr>
              <w:adjustRightInd w:val="0"/>
              <w:snapToGrid w:val="0"/>
              <w:ind w:firstLine="18" w:firstLineChars="9"/>
              <w:rPr>
                <w:rFonts w:ascii="Times New Roman" w:hAnsi="Times New Roman" w:eastAsia="宋体" w:cs="宋体"/>
                <w:szCs w:val="21"/>
              </w:rPr>
            </w:pPr>
            <w:r>
              <w:rPr>
                <w:rFonts w:hint="eastAsia" w:ascii="Times New Roman" w:hAnsi="Times New Roman" w:eastAsia="宋体" w:cs="宋体"/>
                <w:szCs w:val="21"/>
              </w:rPr>
              <w:t>2017.9-</w:t>
            </w:r>
            <w:r>
              <w:rPr>
                <w:rFonts w:ascii="Times New Roman" w:hAnsi="Times New Roman" w:eastAsia="宋体" w:cs="宋体"/>
                <w:szCs w:val="21"/>
              </w:rPr>
              <w:t>2019.9</w:t>
            </w:r>
          </w:p>
        </w:tc>
      </w:tr>
    </w:tbl>
    <w:p>
      <w:pPr>
        <w:adjustRightInd w:val="0"/>
        <w:snapToGrid w:val="0"/>
        <w:spacing w:line="360" w:lineRule="auto"/>
        <w:rPr>
          <w:rFonts w:ascii="Times New Roman" w:hAnsi="Times New Roman" w:eastAsia="宋体" w:cs="微软雅黑"/>
          <w:color w:val="000000"/>
          <w:sz w:val="24"/>
          <w:szCs w:val="24"/>
        </w:rPr>
      </w:pPr>
      <w:r>
        <w:rPr>
          <w:rFonts w:ascii="Times New Roman" w:hAnsi="Times New Roman" w:eastAsia="宋体" w:cs="微软雅黑"/>
          <w:color w:val="000000"/>
          <w:sz w:val="24"/>
          <w:szCs w:val="24"/>
        </w:rPr>
        <w:t>注：职称一栏，请在职人员填写职称，学生填写博士/硕士。</w:t>
      </w:r>
    </w:p>
    <w:p>
      <w:pPr>
        <w:adjustRightInd w:val="0"/>
        <w:snapToGrid w:val="0"/>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（2）主办或承办大型学术会议情况</w:t>
      </w:r>
    </w:p>
    <w:tbl>
      <w:tblPr>
        <w:tblStyle w:val="17"/>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710"/>
        <w:gridCol w:w="1790"/>
        <w:gridCol w:w="2540"/>
        <w:gridCol w:w="1200"/>
        <w:gridCol w:w="990"/>
        <w:gridCol w:w="85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79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会议名称</w:t>
            </w:r>
          </w:p>
        </w:tc>
        <w:tc>
          <w:tcPr>
            <w:tcW w:w="254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主办单位名称</w:t>
            </w:r>
          </w:p>
        </w:tc>
        <w:tc>
          <w:tcPr>
            <w:tcW w:w="120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会议主席</w:t>
            </w:r>
          </w:p>
        </w:tc>
        <w:tc>
          <w:tcPr>
            <w:tcW w:w="99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召开时间</w:t>
            </w:r>
          </w:p>
        </w:tc>
        <w:tc>
          <w:tcPr>
            <w:tcW w:w="854"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参加人数</w:t>
            </w:r>
          </w:p>
        </w:tc>
        <w:tc>
          <w:tcPr>
            <w:tcW w:w="847"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1</w:t>
            </w:r>
          </w:p>
        </w:tc>
        <w:tc>
          <w:tcPr>
            <w:tcW w:w="1790" w:type="dxa"/>
            <w:vAlign w:val="center"/>
          </w:tcPr>
          <w:p>
            <w:pPr>
              <w:adjustRightInd w:val="0"/>
              <w:snapToGrid w:val="0"/>
              <w:jc w:val="center"/>
              <w:rPr>
                <w:rFonts w:ascii="Times New Roman" w:hAnsi="Times New Roman" w:eastAsia="黑体" w:cs="Times New Roman"/>
                <w:sz w:val="24"/>
                <w:szCs w:val="24"/>
              </w:rPr>
            </w:pPr>
            <w:r>
              <w:rPr>
                <w:rFonts w:hint="eastAsia" w:ascii="Times New Roman" w:hAnsi="Times New Roman" w:eastAsia="宋体" w:cs="宋体"/>
                <w:kern w:val="0"/>
                <w:szCs w:val="21"/>
              </w:rPr>
              <w:t>中加水与环境安全联合研发中心</w:t>
            </w:r>
            <w:r>
              <w:rPr>
                <w:rFonts w:ascii="Times New Roman" w:hAnsi="Times New Roman" w:eastAsia="宋体" w:cs="宋体"/>
                <w:kern w:val="0"/>
                <w:szCs w:val="21"/>
              </w:rPr>
              <w:t>2017</w:t>
            </w:r>
            <w:r>
              <w:rPr>
                <w:rFonts w:hint="eastAsia" w:ascii="Times New Roman" w:hAnsi="Times New Roman" w:eastAsia="宋体" w:cs="宋体"/>
                <w:kern w:val="0"/>
                <w:szCs w:val="21"/>
              </w:rPr>
              <w:t>年度博士论坛第</w:t>
            </w:r>
            <w:r>
              <w:rPr>
                <w:rFonts w:ascii="Times New Roman" w:hAnsi="Times New Roman" w:eastAsia="宋体" w:cs="宋体"/>
                <w:kern w:val="0"/>
                <w:szCs w:val="21"/>
              </w:rPr>
              <w:t>1</w:t>
            </w:r>
            <w:r>
              <w:rPr>
                <w:rFonts w:hint="eastAsia" w:ascii="Times New Roman" w:hAnsi="Times New Roman" w:eastAsia="宋体" w:cs="宋体"/>
                <w:kern w:val="0"/>
                <w:szCs w:val="21"/>
              </w:rPr>
              <w:t>期</w:t>
            </w:r>
          </w:p>
        </w:tc>
        <w:tc>
          <w:tcPr>
            <w:tcW w:w="254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南开大学，中加水与环境安全联合研发中心</w:t>
            </w:r>
          </w:p>
        </w:tc>
        <w:tc>
          <w:tcPr>
            <w:tcW w:w="1200" w:type="dxa"/>
            <w:vAlign w:val="center"/>
          </w:tcPr>
          <w:p>
            <w:pPr>
              <w:adjustRightInd w:val="0"/>
              <w:snapToGrid w:val="0"/>
              <w:jc w:val="center"/>
              <w:rPr>
                <w:rFonts w:ascii="宋体" w:hAnsi="宋体" w:eastAsia="宋体" w:cs="宋体"/>
                <w:sz w:val="24"/>
                <w:szCs w:val="24"/>
              </w:rPr>
            </w:pPr>
            <w:r>
              <w:rPr>
                <w:rFonts w:ascii="Times New Roman" w:hAnsi="Times New Roman" w:eastAsia="宋体" w:cs="宋体"/>
                <w:kern w:val="0"/>
                <w:szCs w:val="21"/>
              </w:rPr>
              <w:t>黄津辉</w:t>
            </w:r>
          </w:p>
        </w:tc>
        <w:tc>
          <w:tcPr>
            <w:tcW w:w="990" w:type="dxa"/>
            <w:vAlign w:val="center"/>
          </w:tcPr>
          <w:p>
            <w:pPr>
              <w:jc w:val="center"/>
              <w:rPr>
                <w:rFonts w:ascii="Times New Roman" w:hAnsi="Times New Roman" w:eastAsia="宋体" w:cs="宋体"/>
                <w:kern w:val="0"/>
                <w:szCs w:val="21"/>
              </w:rPr>
            </w:pPr>
            <w:r>
              <w:rPr>
                <w:rFonts w:hint="eastAsia" w:ascii="Times New Roman" w:hAnsi="Times New Roman" w:eastAsia="宋体" w:cs="宋体"/>
                <w:kern w:val="0"/>
                <w:szCs w:val="21"/>
              </w:rPr>
              <w:t>2017年1月14日，天津</w:t>
            </w:r>
          </w:p>
          <w:p>
            <w:pPr>
              <w:adjustRightInd w:val="0"/>
              <w:snapToGrid w:val="0"/>
              <w:jc w:val="center"/>
              <w:rPr>
                <w:rFonts w:ascii="Times New Roman" w:hAnsi="Times New Roman" w:eastAsia="黑体" w:cs="Times New Roman"/>
                <w:sz w:val="24"/>
                <w:szCs w:val="24"/>
              </w:rPr>
            </w:pPr>
          </w:p>
        </w:tc>
        <w:tc>
          <w:tcPr>
            <w:tcW w:w="854" w:type="dxa"/>
            <w:vAlign w:val="center"/>
          </w:tcPr>
          <w:p>
            <w:pPr>
              <w:adjustRightInd w:val="0"/>
              <w:snapToGrid w:val="0"/>
              <w:jc w:val="center"/>
              <w:rPr>
                <w:rFonts w:ascii="Times New Roman" w:hAnsi="Times New Roman" w:eastAsia="黑体" w:cs="Times New Roman"/>
                <w:sz w:val="24"/>
                <w:szCs w:val="24"/>
              </w:rPr>
            </w:pPr>
            <w:r>
              <w:rPr>
                <w:rFonts w:hint="eastAsia" w:ascii="Times New Roman" w:hAnsi="Times New Roman" w:eastAsia="宋体" w:cs="宋体"/>
                <w:kern w:val="0"/>
                <w:szCs w:val="21"/>
              </w:rPr>
              <w:t>55</w:t>
            </w:r>
          </w:p>
        </w:tc>
        <w:tc>
          <w:tcPr>
            <w:tcW w:w="847" w:type="dxa"/>
            <w:vAlign w:val="center"/>
          </w:tcPr>
          <w:p>
            <w:pPr>
              <w:adjustRightInd w:val="0"/>
              <w:snapToGrid w:val="0"/>
              <w:jc w:val="center"/>
              <w:rPr>
                <w:rFonts w:ascii="Times New Roman" w:hAnsi="Times New Roman" w:eastAsia="黑体" w:cs="Times New Roman"/>
                <w:sz w:val="24"/>
                <w:szCs w:val="24"/>
              </w:rPr>
            </w:pPr>
            <w:r>
              <w:rPr>
                <w:rFonts w:hint="eastAsia" w:ascii="Times New Roman" w:hAnsi="Times New Roman" w:eastAsia="宋体" w:cs="宋体"/>
                <w:kern w:val="0"/>
                <w:szCs w:val="21"/>
              </w:rPr>
              <w:t>全国性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2</w:t>
            </w:r>
          </w:p>
        </w:tc>
        <w:tc>
          <w:tcPr>
            <w:tcW w:w="179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南开国际人才论坛之分论坛—南开水与环境安全国际论坛</w:t>
            </w:r>
          </w:p>
        </w:tc>
        <w:tc>
          <w:tcPr>
            <w:tcW w:w="254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南开大学，中加水与环境安全联合研发中心</w:t>
            </w:r>
          </w:p>
        </w:tc>
        <w:tc>
          <w:tcPr>
            <w:tcW w:w="1200" w:type="dxa"/>
            <w:vAlign w:val="center"/>
          </w:tcPr>
          <w:p>
            <w:pPr>
              <w:adjustRightInd w:val="0"/>
              <w:snapToGrid w:val="0"/>
              <w:jc w:val="center"/>
              <w:rPr>
                <w:rFonts w:ascii="宋体" w:hAnsi="宋体" w:eastAsia="宋体" w:cs="宋体"/>
                <w:sz w:val="24"/>
                <w:szCs w:val="24"/>
              </w:rPr>
            </w:pPr>
            <w:r>
              <w:rPr>
                <w:rFonts w:ascii="Times New Roman" w:hAnsi="Times New Roman" w:eastAsia="宋体" w:cs="宋体"/>
                <w:kern w:val="0"/>
                <w:szCs w:val="21"/>
              </w:rPr>
              <w:t>黄津辉</w:t>
            </w:r>
          </w:p>
        </w:tc>
        <w:tc>
          <w:tcPr>
            <w:tcW w:w="990" w:type="dxa"/>
            <w:vAlign w:val="center"/>
          </w:tcPr>
          <w:p>
            <w:pPr>
              <w:jc w:val="center"/>
              <w:rPr>
                <w:rFonts w:ascii="Times New Roman" w:hAnsi="Times New Roman" w:eastAsia="宋体" w:cs="宋体"/>
                <w:kern w:val="0"/>
                <w:szCs w:val="21"/>
              </w:rPr>
            </w:pPr>
            <w:r>
              <w:rPr>
                <w:rFonts w:hint="eastAsia" w:ascii="Times New Roman" w:hAnsi="Times New Roman" w:eastAsia="宋体" w:cs="宋体"/>
                <w:kern w:val="0"/>
                <w:szCs w:val="21"/>
              </w:rPr>
              <w:t>2017年2月23日，天津</w:t>
            </w:r>
          </w:p>
          <w:p>
            <w:pPr>
              <w:adjustRightInd w:val="0"/>
              <w:snapToGrid w:val="0"/>
              <w:jc w:val="center"/>
              <w:rPr>
                <w:rFonts w:ascii="Times New Roman" w:hAnsi="Times New Roman" w:eastAsia="楷体_GB2312" w:cs="Times New Roman"/>
                <w:sz w:val="24"/>
                <w:szCs w:val="24"/>
              </w:rPr>
            </w:pPr>
          </w:p>
        </w:tc>
        <w:tc>
          <w:tcPr>
            <w:tcW w:w="854" w:type="dxa"/>
            <w:vAlign w:val="center"/>
          </w:tcPr>
          <w:p>
            <w:pPr>
              <w:adjustRightInd w:val="0"/>
              <w:snapToGrid w:val="0"/>
              <w:jc w:val="center"/>
              <w:rPr>
                <w:rFonts w:ascii="Times New Roman" w:hAnsi="Times New Roman" w:eastAsia="楷体_GB2312" w:cs="Times New Roman"/>
                <w:sz w:val="24"/>
                <w:szCs w:val="24"/>
              </w:rPr>
            </w:pPr>
            <w:r>
              <w:rPr>
                <w:rFonts w:hint="eastAsia" w:ascii="Times New Roman" w:hAnsi="Times New Roman" w:eastAsia="宋体" w:cs="宋体"/>
                <w:kern w:val="0"/>
                <w:szCs w:val="21"/>
              </w:rPr>
              <w:t>90</w:t>
            </w:r>
          </w:p>
        </w:tc>
        <w:tc>
          <w:tcPr>
            <w:tcW w:w="847"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全国性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3</w:t>
            </w:r>
          </w:p>
        </w:tc>
        <w:tc>
          <w:tcPr>
            <w:tcW w:w="1790" w:type="dxa"/>
            <w:vAlign w:val="center"/>
          </w:tcPr>
          <w:p>
            <w:pPr>
              <w:adjustRightInd w:val="0"/>
              <w:snapToGrid w:val="0"/>
              <w:jc w:val="center"/>
              <w:rPr>
                <w:rFonts w:ascii="Times New Roman" w:hAnsi="Times New Roman" w:eastAsia="楷体_GB2312" w:cs="Times New Roman"/>
                <w:sz w:val="24"/>
                <w:szCs w:val="24"/>
              </w:rPr>
            </w:pPr>
            <w:r>
              <w:rPr>
                <w:rFonts w:hint="eastAsia" w:ascii="Times New Roman" w:hAnsi="Times New Roman" w:eastAsia="宋体" w:cs="宋体"/>
                <w:kern w:val="0"/>
                <w:szCs w:val="21"/>
              </w:rPr>
              <w:t>海绵城市与地空监测预警国际研讨会</w:t>
            </w:r>
          </w:p>
        </w:tc>
        <w:tc>
          <w:tcPr>
            <w:tcW w:w="254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南开大学，中加水与环境安全联合研发中心</w:t>
            </w:r>
          </w:p>
        </w:tc>
        <w:tc>
          <w:tcPr>
            <w:tcW w:w="1200" w:type="dxa"/>
            <w:vAlign w:val="center"/>
          </w:tcPr>
          <w:p>
            <w:pPr>
              <w:adjustRightInd w:val="0"/>
              <w:snapToGrid w:val="0"/>
              <w:jc w:val="center"/>
              <w:rPr>
                <w:rFonts w:ascii="宋体" w:hAnsi="宋体" w:eastAsia="宋体" w:cs="宋体"/>
                <w:sz w:val="24"/>
                <w:szCs w:val="24"/>
              </w:rPr>
            </w:pPr>
            <w:r>
              <w:rPr>
                <w:rFonts w:ascii="Times New Roman" w:hAnsi="Times New Roman" w:eastAsia="宋体" w:cs="宋体"/>
                <w:kern w:val="0"/>
                <w:szCs w:val="21"/>
              </w:rPr>
              <w:t>黄津辉</w:t>
            </w:r>
          </w:p>
        </w:tc>
        <w:tc>
          <w:tcPr>
            <w:tcW w:w="990" w:type="dxa"/>
            <w:vAlign w:val="center"/>
          </w:tcPr>
          <w:p>
            <w:pPr>
              <w:adjustRightInd w:val="0"/>
              <w:snapToGrid w:val="0"/>
              <w:jc w:val="center"/>
              <w:rPr>
                <w:rFonts w:ascii="Times New Roman" w:hAnsi="Times New Roman" w:eastAsia="楷体_GB2312" w:cs="Times New Roman"/>
                <w:sz w:val="24"/>
                <w:szCs w:val="24"/>
              </w:rPr>
            </w:pPr>
            <w:r>
              <w:rPr>
                <w:rFonts w:hint="eastAsia" w:ascii="Times New Roman" w:hAnsi="Times New Roman" w:eastAsia="宋体" w:cs="宋体"/>
                <w:kern w:val="0"/>
                <w:szCs w:val="21"/>
              </w:rPr>
              <w:t>2017年5与15日，天津</w:t>
            </w:r>
          </w:p>
        </w:tc>
        <w:tc>
          <w:tcPr>
            <w:tcW w:w="854"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52</w:t>
            </w:r>
          </w:p>
        </w:tc>
        <w:tc>
          <w:tcPr>
            <w:tcW w:w="847"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4</w:t>
            </w:r>
          </w:p>
        </w:tc>
        <w:tc>
          <w:tcPr>
            <w:tcW w:w="179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第七届城市雨污水管理国际研讨会</w:t>
            </w:r>
          </w:p>
        </w:tc>
        <w:tc>
          <w:tcPr>
            <w:tcW w:w="254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南开大学，中加水与环境安全联合研发中心</w:t>
            </w:r>
          </w:p>
        </w:tc>
        <w:tc>
          <w:tcPr>
            <w:tcW w:w="1200"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宋体" w:cs="宋体"/>
                <w:kern w:val="0"/>
                <w:szCs w:val="21"/>
              </w:rPr>
              <w:t>黄津辉</w:t>
            </w:r>
          </w:p>
        </w:tc>
        <w:tc>
          <w:tcPr>
            <w:tcW w:w="990" w:type="dxa"/>
            <w:vAlign w:val="center"/>
          </w:tcPr>
          <w:p>
            <w:pPr>
              <w:adjustRightInd w:val="0"/>
              <w:snapToGrid w:val="0"/>
              <w:jc w:val="center"/>
              <w:rPr>
                <w:rFonts w:ascii="Times New Roman" w:hAnsi="Times New Roman" w:eastAsia="楷体_GB2312" w:cs="Times New Roman"/>
                <w:sz w:val="24"/>
                <w:szCs w:val="24"/>
              </w:rPr>
            </w:pPr>
            <w:r>
              <w:rPr>
                <w:rFonts w:hint="eastAsia" w:ascii="Times New Roman" w:hAnsi="Times New Roman" w:eastAsia="宋体" w:cs="宋体"/>
                <w:kern w:val="0"/>
                <w:szCs w:val="21"/>
              </w:rPr>
              <w:t>2017年</w:t>
            </w:r>
            <w:r>
              <w:rPr>
                <w:rFonts w:ascii="Times New Roman" w:hAnsi="Times New Roman" w:eastAsia="宋体" w:cs="宋体"/>
                <w:kern w:val="0"/>
                <w:szCs w:val="21"/>
              </w:rPr>
              <w:t>5</w:t>
            </w:r>
            <w:r>
              <w:rPr>
                <w:rFonts w:hint="eastAsia" w:ascii="Times New Roman" w:hAnsi="Times New Roman" w:eastAsia="宋体" w:cs="宋体"/>
                <w:kern w:val="0"/>
                <w:szCs w:val="21"/>
              </w:rPr>
              <w:t>月</w:t>
            </w:r>
            <w:r>
              <w:rPr>
                <w:rFonts w:ascii="Times New Roman" w:hAnsi="Times New Roman" w:eastAsia="宋体" w:cs="宋体"/>
                <w:kern w:val="0"/>
                <w:szCs w:val="21"/>
              </w:rPr>
              <w:t>10-13</w:t>
            </w:r>
            <w:r>
              <w:rPr>
                <w:rFonts w:hint="eastAsia" w:ascii="Times New Roman" w:hAnsi="Times New Roman" w:eastAsia="宋体" w:cs="宋体"/>
                <w:kern w:val="0"/>
                <w:szCs w:val="21"/>
              </w:rPr>
              <w:t>日重庆</w:t>
            </w:r>
          </w:p>
        </w:tc>
        <w:tc>
          <w:tcPr>
            <w:tcW w:w="854"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300</w:t>
            </w:r>
          </w:p>
        </w:tc>
        <w:tc>
          <w:tcPr>
            <w:tcW w:w="847"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179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“第四届生态毒理学”学术研讨会</w:t>
            </w:r>
          </w:p>
        </w:tc>
        <w:tc>
          <w:tcPr>
            <w:tcW w:w="254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浙江工业大学、浙江省农业科学院和中国科学院生态环境研究中心《生态毒理学报》编辑部共同主办</w:t>
            </w:r>
          </w:p>
        </w:tc>
        <w:tc>
          <w:tcPr>
            <w:tcW w:w="120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罗义</w:t>
            </w:r>
          </w:p>
        </w:tc>
        <w:tc>
          <w:tcPr>
            <w:tcW w:w="990" w:type="dxa"/>
            <w:vAlign w:val="center"/>
          </w:tcPr>
          <w:p>
            <w:pPr>
              <w:jc w:val="center"/>
              <w:rPr>
                <w:rFonts w:ascii="Times New Roman" w:hAnsi="Times New Roman" w:eastAsia="宋体" w:cs="宋体"/>
                <w:kern w:val="0"/>
                <w:szCs w:val="21"/>
              </w:rPr>
            </w:pPr>
            <w:r>
              <w:rPr>
                <w:rFonts w:ascii="Times New Roman" w:hAnsi="Times New Roman" w:eastAsia="宋体" w:cs="宋体"/>
                <w:kern w:val="0"/>
                <w:szCs w:val="21"/>
              </w:rPr>
              <w:t>2017</w:t>
            </w:r>
            <w:r>
              <w:rPr>
                <w:rFonts w:hint="eastAsia" w:ascii="Times New Roman" w:hAnsi="Times New Roman" w:eastAsia="宋体" w:cs="宋体"/>
                <w:kern w:val="0"/>
                <w:szCs w:val="21"/>
              </w:rPr>
              <w:t>年</w:t>
            </w:r>
            <w:r>
              <w:rPr>
                <w:rFonts w:ascii="Times New Roman" w:hAnsi="Times New Roman" w:eastAsia="宋体" w:cs="宋体"/>
                <w:kern w:val="0"/>
                <w:szCs w:val="21"/>
              </w:rPr>
              <w:t>4</w:t>
            </w:r>
            <w:r>
              <w:rPr>
                <w:rFonts w:hint="eastAsia" w:ascii="Times New Roman" w:hAnsi="Times New Roman" w:eastAsia="宋体" w:cs="宋体"/>
                <w:kern w:val="0"/>
                <w:szCs w:val="21"/>
              </w:rPr>
              <w:t>月</w:t>
            </w:r>
            <w:r>
              <w:rPr>
                <w:rFonts w:ascii="Times New Roman" w:hAnsi="Times New Roman" w:eastAsia="宋体" w:cs="宋体"/>
                <w:kern w:val="0"/>
                <w:szCs w:val="21"/>
              </w:rPr>
              <w:t>27-29</w:t>
            </w:r>
            <w:r>
              <w:rPr>
                <w:rFonts w:hint="eastAsia" w:ascii="Times New Roman" w:hAnsi="Times New Roman" w:eastAsia="宋体" w:cs="宋体"/>
                <w:kern w:val="0"/>
                <w:szCs w:val="21"/>
              </w:rPr>
              <w:t>日，中国杭州</w:t>
            </w:r>
          </w:p>
          <w:p>
            <w:pPr>
              <w:adjustRightInd w:val="0"/>
              <w:snapToGrid w:val="0"/>
              <w:jc w:val="center"/>
              <w:rPr>
                <w:rFonts w:ascii="Times New Roman" w:hAnsi="Times New Roman" w:eastAsia="宋体" w:cs="宋体"/>
                <w:kern w:val="0"/>
                <w:szCs w:val="21"/>
              </w:rPr>
            </w:pPr>
          </w:p>
        </w:tc>
        <w:tc>
          <w:tcPr>
            <w:tcW w:w="854"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120</w:t>
            </w:r>
          </w:p>
        </w:tc>
        <w:tc>
          <w:tcPr>
            <w:tcW w:w="847"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全国性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等线" w:cs="Times New Roman"/>
                <w:szCs w:val="21"/>
              </w:rPr>
            </w:pPr>
            <w:r>
              <w:rPr>
                <w:rFonts w:hint="eastAsia" w:ascii="Times New Roman" w:hAnsi="Times New Roman" w:eastAsia="等线" w:cs="Times New Roman"/>
                <w:szCs w:val="21"/>
              </w:rPr>
              <w:t>6</w:t>
            </w:r>
          </w:p>
        </w:tc>
        <w:tc>
          <w:tcPr>
            <w:tcW w:w="179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等线" w:cs="Times New Roman"/>
                <w:szCs w:val="21"/>
              </w:rPr>
              <w:t>The 33</w:t>
            </w:r>
            <w:r>
              <w:rPr>
                <w:rFonts w:ascii="Times New Roman" w:hAnsi="Times New Roman" w:eastAsia="等线" w:cs="Times New Roman"/>
                <w:szCs w:val="21"/>
                <w:vertAlign w:val="superscript"/>
              </w:rPr>
              <w:t>rd</w:t>
            </w:r>
            <w:r>
              <w:rPr>
                <w:rFonts w:ascii="Times New Roman" w:hAnsi="Times New Roman" w:eastAsia="等线" w:cs="Times New Roman"/>
                <w:szCs w:val="21"/>
              </w:rPr>
              <w:t xml:space="preserve"> international conference of the society for environmental geochemistry and health (SEGH 2017)</w:t>
            </w:r>
          </w:p>
        </w:tc>
        <w:tc>
          <w:tcPr>
            <w:tcW w:w="2540" w:type="dxa"/>
            <w:vAlign w:val="center"/>
          </w:tcPr>
          <w:p>
            <w:pPr>
              <w:adjustRightInd w:val="0"/>
              <w:snapToGrid w:val="0"/>
              <w:jc w:val="center"/>
              <w:rPr>
                <w:rFonts w:ascii="Times New Roman" w:hAnsi="Times New Roman" w:eastAsia="宋体" w:cs="宋体"/>
                <w:kern w:val="0"/>
                <w:szCs w:val="21"/>
              </w:rPr>
            </w:pPr>
            <w:r>
              <w:rPr>
                <w:rFonts w:eastAsia="等线"/>
                <w:iCs/>
                <w:szCs w:val="21"/>
              </w:rPr>
              <w:t>Institute of Environmental Health and Pollution Control, School of Environmental Science and Engineering, Guangdong University of Technology</w:t>
            </w:r>
            <w:r>
              <w:rPr>
                <w:rFonts w:eastAsia="等线"/>
                <w:szCs w:val="21"/>
              </w:rPr>
              <w:t> </w:t>
            </w:r>
            <w:r>
              <w:rPr>
                <w:rFonts w:ascii="Times New Roman" w:hAnsi="Times New Roman" w:eastAsia="等线" w:cs="Times New Roman"/>
                <w:szCs w:val="21"/>
              </w:rPr>
              <w:t>and </w:t>
            </w:r>
            <w:r>
              <w:rPr>
                <w:rFonts w:eastAsia="等线"/>
                <w:iCs/>
                <w:szCs w:val="21"/>
              </w:rPr>
              <w:t>Guangzhou Institute of Geochemistry, Chinese Academy of Sciences.</w:t>
            </w:r>
          </w:p>
        </w:tc>
        <w:tc>
          <w:tcPr>
            <w:tcW w:w="120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罗义</w:t>
            </w:r>
          </w:p>
        </w:tc>
        <w:tc>
          <w:tcPr>
            <w:tcW w:w="990" w:type="dxa"/>
            <w:vAlign w:val="center"/>
          </w:tcPr>
          <w:p>
            <w:pPr>
              <w:jc w:val="center"/>
              <w:rPr>
                <w:rFonts w:ascii="Times New Roman" w:hAnsi="Times New Roman" w:eastAsia="宋体" w:cs="宋体"/>
                <w:kern w:val="0"/>
                <w:szCs w:val="21"/>
              </w:rPr>
            </w:pPr>
            <w:r>
              <w:rPr>
                <w:rFonts w:ascii="Times New Roman" w:hAnsi="Times New Roman" w:eastAsia="等线" w:cs="Times New Roman"/>
                <w:szCs w:val="21"/>
              </w:rPr>
              <w:t>2017</w:t>
            </w:r>
            <w:r>
              <w:rPr>
                <w:rFonts w:hint="eastAsia" w:cs="Times New Roman"/>
                <w:szCs w:val="21"/>
              </w:rPr>
              <w:t>年</w:t>
            </w:r>
            <w:r>
              <w:rPr>
                <w:rFonts w:ascii="Times New Roman" w:hAnsi="Times New Roman" w:eastAsia="等线" w:cs="Times New Roman"/>
                <w:szCs w:val="21"/>
              </w:rPr>
              <w:t>6</w:t>
            </w:r>
            <w:r>
              <w:rPr>
                <w:rFonts w:hint="eastAsia" w:cs="Times New Roman"/>
                <w:szCs w:val="21"/>
              </w:rPr>
              <w:t>月</w:t>
            </w:r>
            <w:r>
              <w:rPr>
                <w:rFonts w:ascii="Times New Roman" w:hAnsi="Times New Roman" w:eastAsia="等线" w:cs="Times New Roman"/>
                <w:szCs w:val="21"/>
              </w:rPr>
              <w:t>30</w:t>
            </w:r>
            <w:r>
              <w:rPr>
                <w:rFonts w:hint="eastAsia" w:cs="Times New Roman"/>
                <w:szCs w:val="21"/>
              </w:rPr>
              <w:t>日</w:t>
            </w:r>
            <w:r>
              <w:rPr>
                <w:rFonts w:ascii="Times New Roman" w:hAnsi="Times New Roman" w:eastAsia="等线" w:cs="Times New Roman"/>
                <w:szCs w:val="21"/>
              </w:rPr>
              <w:t>-7</w:t>
            </w:r>
            <w:r>
              <w:rPr>
                <w:rFonts w:hint="eastAsia" w:cs="Times New Roman"/>
                <w:szCs w:val="21"/>
              </w:rPr>
              <w:t>月</w:t>
            </w:r>
            <w:r>
              <w:rPr>
                <w:rFonts w:ascii="Times New Roman" w:hAnsi="Times New Roman" w:eastAsia="等线" w:cs="Times New Roman"/>
                <w:szCs w:val="21"/>
              </w:rPr>
              <w:t>4</w:t>
            </w:r>
            <w:r>
              <w:rPr>
                <w:rFonts w:hint="eastAsia" w:cs="Times New Roman"/>
                <w:szCs w:val="21"/>
              </w:rPr>
              <w:t>日，广州</w:t>
            </w:r>
          </w:p>
        </w:tc>
        <w:tc>
          <w:tcPr>
            <w:tcW w:w="854"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100</w:t>
            </w:r>
          </w:p>
        </w:tc>
        <w:tc>
          <w:tcPr>
            <w:tcW w:w="847"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7</w:t>
            </w:r>
          </w:p>
        </w:tc>
        <w:tc>
          <w:tcPr>
            <w:tcW w:w="179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首届新型污染物与环境纳米技术国际研讨会</w:t>
            </w:r>
          </w:p>
        </w:tc>
        <w:tc>
          <w:tcPr>
            <w:tcW w:w="2540"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南开大学新型污染物环境过程与风险评估学科创新引智基地和天津市新型污染物暴露组学国际联合研究中心</w:t>
            </w:r>
          </w:p>
        </w:tc>
        <w:tc>
          <w:tcPr>
            <w:tcW w:w="120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孙红文</w:t>
            </w:r>
          </w:p>
        </w:tc>
        <w:tc>
          <w:tcPr>
            <w:tcW w:w="990" w:type="dxa"/>
            <w:vAlign w:val="center"/>
          </w:tcPr>
          <w:p>
            <w:pPr>
              <w:jc w:val="center"/>
              <w:rPr>
                <w:rFonts w:ascii="Times New Roman" w:hAnsi="Times New Roman" w:eastAsia="宋体" w:cs="宋体"/>
                <w:kern w:val="0"/>
                <w:szCs w:val="21"/>
              </w:rPr>
            </w:pPr>
            <w:r>
              <w:rPr>
                <w:rFonts w:ascii="Times New Roman" w:hAnsi="Times New Roman" w:eastAsia="宋体" w:cs="宋体"/>
                <w:kern w:val="0"/>
                <w:szCs w:val="21"/>
              </w:rPr>
              <w:t>2017</w:t>
            </w:r>
            <w:r>
              <w:rPr>
                <w:rFonts w:hint="eastAsia" w:ascii="Times New Roman" w:hAnsi="Times New Roman" w:eastAsia="宋体" w:cs="宋体"/>
                <w:kern w:val="0"/>
                <w:szCs w:val="21"/>
              </w:rPr>
              <w:t>年</w:t>
            </w:r>
            <w:r>
              <w:rPr>
                <w:rFonts w:ascii="Times New Roman" w:hAnsi="Times New Roman" w:eastAsia="宋体" w:cs="宋体"/>
                <w:kern w:val="0"/>
                <w:szCs w:val="21"/>
              </w:rPr>
              <w:t>5</w:t>
            </w:r>
            <w:r>
              <w:rPr>
                <w:rFonts w:hint="eastAsia" w:ascii="Times New Roman" w:hAnsi="Times New Roman" w:eastAsia="宋体" w:cs="宋体"/>
                <w:kern w:val="0"/>
                <w:szCs w:val="21"/>
              </w:rPr>
              <w:t>月</w:t>
            </w:r>
            <w:r>
              <w:rPr>
                <w:rFonts w:ascii="Times New Roman" w:hAnsi="Times New Roman" w:eastAsia="宋体" w:cs="宋体"/>
                <w:kern w:val="0"/>
                <w:szCs w:val="21"/>
              </w:rPr>
              <w:t>23-27</w:t>
            </w:r>
            <w:r>
              <w:rPr>
                <w:rFonts w:hint="eastAsia" w:ascii="Times New Roman" w:hAnsi="Times New Roman" w:eastAsia="宋体" w:cs="宋体"/>
                <w:kern w:val="0"/>
                <w:szCs w:val="21"/>
              </w:rPr>
              <w:t>日，天津</w:t>
            </w:r>
          </w:p>
          <w:p>
            <w:pPr>
              <w:adjustRightInd w:val="0"/>
              <w:snapToGrid w:val="0"/>
              <w:jc w:val="center"/>
              <w:rPr>
                <w:rFonts w:ascii="Times New Roman" w:hAnsi="Times New Roman" w:eastAsia="宋体" w:cs="宋体"/>
                <w:kern w:val="0"/>
                <w:szCs w:val="21"/>
              </w:rPr>
            </w:pPr>
          </w:p>
        </w:tc>
        <w:tc>
          <w:tcPr>
            <w:tcW w:w="854"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100</w:t>
            </w:r>
          </w:p>
        </w:tc>
        <w:tc>
          <w:tcPr>
            <w:tcW w:w="847"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等线" w:cs="Times New Roman"/>
                <w:szCs w:val="21"/>
              </w:rPr>
            </w:pPr>
            <w:r>
              <w:rPr>
                <w:rFonts w:hint="eastAsia" w:ascii="Times New Roman" w:hAnsi="Times New Roman" w:eastAsia="等线" w:cs="Times New Roman"/>
                <w:szCs w:val="21"/>
              </w:rPr>
              <w:t>8</w:t>
            </w:r>
          </w:p>
        </w:tc>
        <w:tc>
          <w:tcPr>
            <w:tcW w:w="1790" w:type="dxa"/>
            <w:vAlign w:val="center"/>
          </w:tcPr>
          <w:p>
            <w:pPr>
              <w:adjustRightInd w:val="0"/>
              <w:snapToGrid w:val="0"/>
              <w:jc w:val="center"/>
              <w:rPr>
                <w:rFonts w:ascii="宋体" w:hAnsi="宋体" w:eastAsia="宋体" w:cs="宋体"/>
                <w:sz w:val="24"/>
                <w:szCs w:val="24"/>
              </w:rPr>
            </w:pPr>
            <w:r>
              <w:rPr>
                <w:rFonts w:ascii="Times New Roman" w:hAnsi="Times New Roman" w:eastAsia="等线" w:cs="Times New Roman"/>
                <w:szCs w:val="21"/>
              </w:rPr>
              <w:t>The 33</w:t>
            </w:r>
            <w:r>
              <w:rPr>
                <w:rFonts w:ascii="Times New Roman" w:hAnsi="Times New Roman" w:eastAsia="等线" w:cs="Times New Roman"/>
                <w:szCs w:val="21"/>
                <w:vertAlign w:val="superscript"/>
              </w:rPr>
              <w:t>rd</w:t>
            </w:r>
            <w:r>
              <w:rPr>
                <w:rFonts w:ascii="Times New Roman" w:hAnsi="Times New Roman" w:eastAsia="等线" w:cs="Times New Roman"/>
                <w:szCs w:val="21"/>
              </w:rPr>
              <w:t xml:space="preserve"> international conference of the society for environmental geochemistry and health (SEGH 2017)</w:t>
            </w:r>
          </w:p>
        </w:tc>
        <w:tc>
          <w:tcPr>
            <w:tcW w:w="2540" w:type="dxa"/>
            <w:vAlign w:val="center"/>
          </w:tcPr>
          <w:p>
            <w:pPr>
              <w:adjustRightInd w:val="0"/>
              <w:snapToGrid w:val="0"/>
              <w:jc w:val="center"/>
              <w:rPr>
                <w:rFonts w:ascii="Times New Roman" w:hAnsi="Times New Roman" w:eastAsia="宋体" w:cs="宋体"/>
                <w:kern w:val="0"/>
                <w:szCs w:val="21"/>
              </w:rPr>
            </w:pPr>
            <w:r>
              <w:rPr>
                <w:rFonts w:eastAsia="等线"/>
                <w:iCs/>
                <w:szCs w:val="21"/>
              </w:rPr>
              <w:t>Institute of Environmental Health and Pollution Control, School of Environmental Science and Engineering, Guangdong University of Technology</w:t>
            </w:r>
            <w:r>
              <w:rPr>
                <w:rFonts w:eastAsia="等线"/>
                <w:szCs w:val="21"/>
              </w:rPr>
              <w:t> </w:t>
            </w:r>
            <w:r>
              <w:rPr>
                <w:rFonts w:ascii="Times New Roman" w:hAnsi="Times New Roman" w:eastAsia="等线" w:cs="Times New Roman"/>
                <w:szCs w:val="21"/>
              </w:rPr>
              <w:t>and </w:t>
            </w:r>
            <w:r>
              <w:rPr>
                <w:rFonts w:eastAsia="等线"/>
                <w:iCs/>
                <w:szCs w:val="21"/>
              </w:rPr>
              <w:t>Guangzhou Institute of Geochemistry, Chinese Academy of Sciences.</w:t>
            </w:r>
          </w:p>
        </w:tc>
        <w:tc>
          <w:tcPr>
            <w:tcW w:w="1200" w:type="dxa"/>
            <w:vAlign w:val="center"/>
          </w:tcPr>
          <w:p>
            <w:pPr>
              <w:adjustRightInd w:val="0"/>
              <w:snapToGrid w:val="0"/>
              <w:jc w:val="center"/>
              <w:rPr>
                <w:rFonts w:ascii="Times New Roman" w:hAnsi="Times New Roman" w:eastAsia="宋体" w:cs="宋体"/>
                <w:kern w:val="0"/>
                <w:szCs w:val="21"/>
              </w:rPr>
            </w:pPr>
            <w:r>
              <w:rPr>
                <w:rFonts w:ascii="宋体" w:hAnsi="宋体" w:eastAsia="宋体" w:cs="宋体"/>
                <w:sz w:val="24"/>
                <w:szCs w:val="24"/>
              </w:rPr>
              <w:t>祝凌燕</w:t>
            </w:r>
          </w:p>
        </w:tc>
        <w:tc>
          <w:tcPr>
            <w:tcW w:w="99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等线" w:cs="Times New Roman"/>
                <w:szCs w:val="21"/>
              </w:rPr>
              <w:t>2017</w:t>
            </w:r>
            <w:r>
              <w:rPr>
                <w:rFonts w:hint="eastAsia" w:cs="Times New Roman"/>
                <w:szCs w:val="21"/>
              </w:rPr>
              <w:t>年</w:t>
            </w:r>
            <w:r>
              <w:rPr>
                <w:rFonts w:ascii="Times New Roman" w:hAnsi="Times New Roman" w:eastAsia="等线" w:cs="Times New Roman"/>
                <w:szCs w:val="21"/>
              </w:rPr>
              <w:t>6</w:t>
            </w:r>
            <w:r>
              <w:rPr>
                <w:rFonts w:hint="eastAsia" w:cs="Times New Roman"/>
                <w:szCs w:val="21"/>
              </w:rPr>
              <w:t>月</w:t>
            </w:r>
            <w:r>
              <w:rPr>
                <w:rFonts w:ascii="Times New Roman" w:hAnsi="Times New Roman" w:eastAsia="等线" w:cs="Times New Roman"/>
                <w:szCs w:val="21"/>
              </w:rPr>
              <w:t>30</w:t>
            </w:r>
            <w:r>
              <w:rPr>
                <w:rFonts w:hint="eastAsia" w:cs="Times New Roman"/>
                <w:szCs w:val="21"/>
              </w:rPr>
              <w:t>日</w:t>
            </w:r>
            <w:r>
              <w:rPr>
                <w:rFonts w:ascii="Times New Roman" w:hAnsi="Times New Roman" w:eastAsia="等线" w:cs="Times New Roman"/>
                <w:szCs w:val="21"/>
              </w:rPr>
              <w:t>-7</w:t>
            </w:r>
            <w:r>
              <w:rPr>
                <w:rFonts w:hint="eastAsia" w:cs="Times New Roman"/>
                <w:szCs w:val="21"/>
              </w:rPr>
              <w:t>月</w:t>
            </w:r>
            <w:r>
              <w:rPr>
                <w:rFonts w:ascii="Times New Roman" w:hAnsi="Times New Roman" w:eastAsia="等线" w:cs="Times New Roman"/>
                <w:szCs w:val="21"/>
              </w:rPr>
              <w:t>4</w:t>
            </w:r>
            <w:r>
              <w:rPr>
                <w:rFonts w:hint="eastAsia" w:cs="Times New Roman"/>
                <w:szCs w:val="21"/>
              </w:rPr>
              <w:t>日，广州</w:t>
            </w:r>
          </w:p>
        </w:tc>
        <w:tc>
          <w:tcPr>
            <w:tcW w:w="854"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等线" w:cs="Times New Roman"/>
                <w:szCs w:val="21"/>
              </w:rPr>
              <w:t>500</w:t>
            </w:r>
          </w:p>
        </w:tc>
        <w:tc>
          <w:tcPr>
            <w:tcW w:w="847"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454" w:hRule="atLeast"/>
        </w:trPr>
        <w:tc>
          <w:tcPr>
            <w:tcW w:w="710" w:type="dxa"/>
            <w:vAlign w:val="top"/>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9</w:t>
            </w:r>
          </w:p>
        </w:tc>
        <w:tc>
          <w:tcPr>
            <w:tcW w:w="1790" w:type="dxa"/>
            <w:vAlign w:val="center"/>
          </w:tcPr>
          <w:p>
            <w:pPr>
              <w:adjustRightInd w:val="0"/>
              <w:snapToGrid w:val="0"/>
              <w:jc w:val="center"/>
              <w:rPr>
                <w:rFonts w:ascii="宋体" w:hAnsi="宋体" w:eastAsia="宋体" w:cs="宋体"/>
                <w:sz w:val="24"/>
                <w:szCs w:val="24"/>
              </w:rPr>
            </w:pPr>
            <w:r>
              <w:rPr>
                <w:rFonts w:hint="eastAsia" w:ascii="Times New Roman" w:hAnsi="Times New Roman" w:eastAsia="宋体" w:cs="宋体"/>
                <w:kern w:val="0"/>
                <w:szCs w:val="21"/>
              </w:rPr>
              <w:t>第九届全国环境化学大会（生态毒理分会场）</w:t>
            </w:r>
          </w:p>
        </w:tc>
        <w:tc>
          <w:tcPr>
            <w:tcW w:w="254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中国化学会环境化学专业委员会</w:t>
            </w:r>
            <w:r>
              <w:rPr>
                <w:rFonts w:hint="eastAsia" w:ascii="Times New Roman" w:hAnsi="Times New Roman" w:eastAsia="宋体" w:cs="宋体"/>
                <w:kern w:val="0"/>
                <w:szCs w:val="21"/>
              </w:rPr>
              <w:t>，</w:t>
            </w:r>
            <w:r>
              <w:rPr>
                <w:rFonts w:ascii="Times New Roman" w:hAnsi="Times New Roman" w:eastAsia="宋体" w:cs="宋体"/>
                <w:kern w:val="0"/>
                <w:szCs w:val="21"/>
              </w:rPr>
              <w:t>中国环境科学学会环境化学分会</w:t>
            </w:r>
          </w:p>
        </w:tc>
        <w:tc>
          <w:tcPr>
            <w:tcW w:w="120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祝凌燕</w:t>
            </w:r>
          </w:p>
        </w:tc>
        <w:tc>
          <w:tcPr>
            <w:tcW w:w="990"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2017</w:t>
            </w:r>
            <w:r>
              <w:rPr>
                <w:rFonts w:hint="eastAsia" w:ascii="Times New Roman" w:hAnsi="Times New Roman" w:eastAsia="宋体" w:cs="宋体"/>
                <w:kern w:val="0"/>
                <w:szCs w:val="21"/>
              </w:rPr>
              <w:t>年</w:t>
            </w:r>
            <w:r>
              <w:rPr>
                <w:rFonts w:ascii="Times New Roman" w:hAnsi="Times New Roman" w:eastAsia="宋体" w:cs="宋体"/>
                <w:kern w:val="0"/>
                <w:szCs w:val="21"/>
              </w:rPr>
              <w:t>10</w:t>
            </w:r>
            <w:r>
              <w:rPr>
                <w:rFonts w:hint="eastAsia" w:ascii="Times New Roman" w:hAnsi="Times New Roman" w:eastAsia="宋体" w:cs="宋体"/>
                <w:kern w:val="0"/>
                <w:szCs w:val="21"/>
              </w:rPr>
              <w:t>月</w:t>
            </w:r>
            <w:r>
              <w:rPr>
                <w:rFonts w:ascii="Times New Roman" w:hAnsi="Times New Roman" w:eastAsia="宋体" w:cs="宋体"/>
                <w:kern w:val="0"/>
                <w:szCs w:val="21"/>
              </w:rPr>
              <w:t>19</w:t>
            </w:r>
            <w:r>
              <w:rPr>
                <w:rFonts w:hint="eastAsia" w:ascii="Times New Roman" w:hAnsi="Times New Roman" w:eastAsia="宋体" w:cs="宋体"/>
                <w:kern w:val="0"/>
                <w:szCs w:val="21"/>
              </w:rPr>
              <w:t>日</w:t>
            </w:r>
            <w:r>
              <w:rPr>
                <w:rFonts w:ascii="Times New Roman" w:hAnsi="Times New Roman" w:eastAsia="宋体" w:cs="宋体"/>
                <w:kern w:val="0"/>
                <w:szCs w:val="21"/>
              </w:rPr>
              <w:t>-22</w:t>
            </w:r>
            <w:r>
              <w:rPr>
                <w:rFonts w:hint="eastAsia" w:ascii="Times New Roman" w:hAnsi="Times New Roman" w:eastAsia="宋体" w:cs="宋体"/>
                <w:kern w:val="0"/>
                <w:szCs w:val="21"/>
              </w:rPr>
              <w:t>日，杭州</w:t>
            </w:r>
          </w:p>
        </w:tc>
        <w:tc>
          <w:tcPr>
            <w:tcW w:w="854" w:type="dxa"/>
            <w:vAlign w:val="center"/>
          </w:tcPr>
          <w:p>
            <w:pPr>
              <w:adjustRightInd w:val="0"/>
              <w:snapToGrid w:val="0"/>
              <w:jc w:val="center"/>
              <w:rPr>
                <w:rFonts w:ascii="Times New Roman" w:hAnsi="Times New Roman" w:eastAsia="宋体" w:cs="宋体"/>
                <w:kern w:val="0"/>
                <w:szCs w:val="21"/>
              </w:rPr>
            </w:pPr>
            <w:r>
              <w:rPr>
                <w:rFonts w:ascii="Times New Roman" w:hAnsi="Times New Roman" w:eastAsia="宋体" w:cs="宋体"/>
                <w:kern w:val="0"/>
                <w:szCs w:val="21"/>
              </w:rPr>
              <w:t>5000</w:t>
            </w:r>
          </w:p>
        </w:tc>
        <w:tc>
          <w:tcPr>
            <w:tcW w:w="847" w:type="dxa"/>
            <w:vAlign w:val="center"/>
          </w:tcPr>
          <w:p>
            <w:pPr>
              <w:adjustRightInd w:val="0"/>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全国性</w:t>
            </w:r>
          </w:p>
        </w:tc>
      </w:tr>
    </w:tbl>
    <w:p>
      <w:pPr>
        <w:adjustRightInd w:val="0"/>
        <w:snapToGrid w:val="0"/>
        <w:ind w:firstLine="420" w:firstLineChars="200"/>
        <w:rPr>
          <w:rFonts w:ascii="Times New Roman" w:hAnsi="Times New Roman" w:eastAsia="楷体_GB2312" w:cs="Times New Roman"/>
          <w:szCs w:val="24"/>
        </w:rPr>
      </w:pPr>
      <w:r>
        <w:rPr>
          <w:rFonts w:ascii="Times New Roman" w:hAnsi="Times New Roman" w:eastAsia="楷体_GB2312" w:cs="Times New Roman"/>
          <w:szCs w:val="24"/>
        </w:rPr>
        <w:t>注：请按全球性、地区性、双边性、全国性等类别排序，并在类别栏中注明。</w:t>
      </w:r>
    </w:p>
    <w:p>
      <w:pPr>
        <w:adjustRightInd w:val="0"/>
        <w:snapToGrid w:val="0"/>
        <w:spacing w:line="360" w:lineRule="auto"/>
        <w:rPr>
          <w:rFonts w:ascii="Times New Roman" w:hAnsi="Times New Roman" w:eastAsia="黑体" w:cs="Times New Roman"/>
          <w:b/>
          <w:sz w:val="24"/>
          <w:szCs w:val="24"/>
        </w:rPr>
      </w:pPr>
    </w:p>
    <w:p>
      <w:pPr>
        <w:adjustRightInd w:val="0"/>
        <w:snapToGrid w:val="0"/>
        <w:ind w:firstLine="482" w:firstLineChars="200"/>
        <w:rPr>
          <w:rFonts w:ascii="Times New Roman" w:hAnsi="Times New Roman" w:eastAsia="楷体_GB2312" w:cs="Times New Roman"/>
          <w:sz w:val="28"/>
          <w:szCs w:val="24"/>
        </w:rPr>
      </w:pPr>
      <w:r>
        <w:rPr>
          <w:rFonts w:ascii="Times New Roman" w:hAnsi="Times New Roman" w:eastAsia="黑体" w:cs="Times New Roman"/>
          <w:b/>
          <w:sz w:val="24"/>
          <w:szCs w:val="24"/>
        </w:rPr>
        <w:t>（3）国内外学术交流与合作情况</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3" w:hRule="atLeast"/>
        </w:trPr>
        <w:tc>
          <w:tcPr>
            <w:tcW w:w="8522" w:type="dxa"/>
            <w:vAlign w:val="top"/>
          </w:tcPr>
          <w:p>
            <w:pPr>
              <w:adjustRightInd w:val="0"/>
              <w:snapToGrid w:val="0"/>
              <w:spacing w:beforeLines="2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请</w:t>
            </w:r>
            <w:r>
              <w:rPr>
                <w:rFonts w:hint="eastAsia" w:ascii="微软雅黑" w:hAnsi="微软雅黑" w:eastAsia="微软雅黑" w:cs="微软雅黑"/>
                <w:sz w:val="24"/>
                <w:szCs w:val="24"/>
              </w:rPr>
              <w:t>列</w:t>
            </w:r>
            <w:r>
              <w:rPr>
                <w:rFonts w:hint="eastAsia" w:ascii="___WRD_EMBED_SUB_40" w:hAnsi="___WRD_EMBED_SUB_40" w:eastAsia="___WRD_EMBED_SUB_40" w:cs="___WRD_EMBED_SUB_40"/>
                <w:sz w:val="24"/>
                <w:szCs w:val="24"/>
              </w:rPr>
              <w:t>出实验室在本年度内参加国内</w:t>
            </w:r>
            <w:r>
              <w:rPr>
                <w:rFonts w:hint="eastAsia" w:ascii="微软雅黑" w:hAnsi="微软雅黑" w:eastAsia="微软雅黑" w:cs="微软雅黑"/>
                <w:sz w:val="24"/>
                <w:szCs w:val="24"/>
              </w:rPr>
              <w:t>外</w:t>
            </w:r>
            <w:r>
              <w:rPr>
                <w:rFonts w:hint="eastAsia" w:ascii="___WRD_EMBED_SUB_40" w:hAnsi="___WRD_EMBED_SUB_40" w:eastAsia="___WRD_EMBED_SUB_40" w:cs="___WRD_EMBED_SUB_40"/>
                <w:sz w:val="24"/>
                <w:szCs w:val="24"/>
              </w:rPr>
              <w:t>学术交流与合作的概况，包括与国</w:t>
            </w:r>
            <w:r>
              <w:rPr>
                <w:rFonts w:hint="eastAsia" w:ascii="微软雅黑" w:hAnsi="微软雅黑" w:eastAsia="微软雅黑" w:cs="微软雅黑"/>
                <w:sz w:val="24"/>
                <w:szCs w:val="24"/>
              </w:rPr>
              <w:t>外</w:t>
            </w:r>
            <w:r>
              <w:rPr>
                <w:rFonts w:hint="eastAsia" w:ascii="___WRD_EMBED_SUB_40" w:hAnsi="___WRD_EMBED_SUB_40" w:eastAsia="___WRD_EMBED_SUB_40" w:cs="___WRD_EMBED_SUB_40"/>
                <w:sz w:val="24"/>
                <w:szCs w:val="24"/>
              </w:rPr>
              <w:t>研究机构共建实验室、承担重大国际合作项目或机构建设、参与国际重大科研计划、在国际重要学术会议</w:t>
            </w:r>
            <w:r>
              <w:rPr>
                <w:rFonts w:hint="eastAsia" w:ascii="微软雅黑" w:hAnsi="微软雅黑" w:eastAsia="微软雅黑" w:cs="微软雅黑"/>
                <w:sz w:val="24"/>
                <w:szCs w:val="24"/>
              </w:rPr>
              <w:t>做特邀</w:t>
            </w:r>
            <w:r>
              <w:rPr>
                <w:rFonts w:hint="eastAsia" w:ascii="___WRD_EMBED_SUB_40" w:hAnsi="___WRD_EMBED_SUB_40" w:eastAsia="___WRD_EMBED_SUB_40" w:cs="___WRD_EMBED_SUB_40"/>
                <w:sz w:val="24"/>
                <w:szCs w:val="24"/>
              </w:rPr>
              <w:t>报告的情况。请按国内合作与国际合作分类填写。</w:t>
            </w:r>
          </w:p>
          <w:p>
            <w:pPr>
              <w:adjustRightInd w:val="0"/>
              <w:snapToGrid w:val="0"/>
              <w:spacing w:beforeLines="20" w:line="400" w:lineRule="exact"/>
              <w:ind w:firstLine="480" w:firstLineChars="200"/>
              <w:rPr>
                <w:rFonts w:ascii="宋体" w:hAnsi="宋体" w:eastAsia="宋体"/>
                <w:sz w:val="24"/>
                <w:szCs w:val="24"/>
              </w:rPr>
            </w:pPr>
            <w:r>
              <w:rPr>
                <w:rFonts w:hint="eastAsia" w:ascii="宋体" w:hAnsi="宋体" w:eastAsia="宋体"/>
                <w:sz w:val="24"/>
                <w:szCs w:val="24"/>
              </w:rPr>
              <w:t>2017年，重点实验室骨干成员积极参加国内外学术会议，并在会议上作报告72人次，其中特邀报告23人次。</w:t>
            </w:r>
            <w:r>
              <w:rPr>
                <w:rFonts w:hint="eastAsia" w:ascii="宋体" w:hAnsi="宋体" w:eastAsia="宋体" w:cs="微软雅黑"/>
                <w:color w:val="000000"/>
                <w:sz w:val="24"/>
                <w:szCs w:val="24"/>
              </w:rPr>
              <w:t>2017年实验室成员承担国际合作项目4项。国际合作机构建设方面，2017年重点实验室骨干成员牵头，新获批2个国际科技合作基地，分别是徐鹤教授领衔的环境修复与可持续发展国际联合研究中心、周启星教授领衔的新型污染物暴露组学国际联合研究中心。新的国际合作基地将对提升科技创新创业平台国际化水平、</w:t>
            </w:r>
            <w:r>
              <w:rPr>
                <w:rFonts w:ascii="宋体" w:hAnsi="宋体" w:eastAsia="宋体" w:cs="微软雅黑"/>
                <w:color w:val="000000"/>
                <w:sz w:val="24"/>
                <w:szCs w:val="24"/>
              </w:rPr>
              <w:t>构筑国际高端研发资源聚集高地</w:t>
            </w:r>
            <w:r>
              <w:rPr>
                <w:rFonts w:hint="eastAsia" w:ascii="宋体" w:hAnsi="宋体" w:eastAsia="宋体" w:cs="微软雅黑"/>
                <w:color w:val="000000"/>
                <w:sz w:val="24"/>
                <w:szCs w:val="24"/>
              </w:rPr>
              <w:t>、</w:t>
            </w:r>
            <w:r>
              <w:rPr>
                <w:rFonts w:ascii="宋体" w:hAnsi="宋体" w:eastAsia="宋体" w:cs="微软雅黑"/>
                <w:color w:val="000000"/>
                <w:sz w:val="24"/>
                <w:szCs w:val="24"/>
              </w:rPr>
              <w:t>推进“一带一路”科技创新合作</w:t>
            </w:r>
            <w:r>
              <w:rPr>
                <w:rFonts w:hint="eastAsia" w:ascii="宋体" w:hAnsi="宋体" w:eastAsia="宋体" w:cs="微软雅黑"/>
                <w:color w:val="000000"/>
                <w:sz w:val="24"/>
                <w:szCs w:val="24"/>
              </w:rPr>
              <w:t>、开展</w:t>
            </w:r>
            <w:r>
              <w:rPr>
                <w:rFonts w:ascii="宋体" w:hAnsi="宋体" w:eastAsia="宋体" w:cs="微软雅黑"/>
                <w:color w:val="000000"/>
                <w:sz w:val="24"/>
                <w:szCs w:val="24"/>
              </w:rPr>
              <w:t>国际科技交流、跨国技术合作、承接国际技术转移、聚集全球创新要素</w:t>
            </w:r>
            <w:r>
              <w:rPr>
                <w:rFonts w:hint="eastAsia" w:ascii="宋体" w:hAnsi="宋体" w:eastAsia="宋体" w:cs="微软雅黑"/>
                <w:color w:val="000000"/>
                <w:sz w:val="24"/>
                <w:szCs w:val="24"/>
              </w:rPr>
              <w:t>等方面发挥重要的</w:t>
            </w:r>
            <w:r>
              <w:rPr>
                <w:rFonts w:ascii="宋体" w:hAnsi="宋体" w:eastAsia="宋体" w:cs="微软雅黑"/>
                <w:color w:val="000000"/>
                <w:sz w:val="24"/>
                <w:szCs w:val="24"/>
              </w:rPr>
              <w:t>平台载体作用</w:t>
            </w:r>
            <w:r>
              <w:rPr>
                <w:rFonts w:hint="eastAsia" w:ascii="宋体" w:hAnsi="宋体" w:eastAsia="宋体" w:cs="微软雅黑"/>
                <w:color w:val="000000"/>
                <w:sz w:val="24"/>
                <w:szCs w:val="24"/>
              </w:rPr>
              <w:t>。</w:t>
            </w:r>
          </w:p>
          <w:p>
            <w:pPr>
              <w:adjustRightInd w:val="0"/>
              <w:snapToGrid w:val="0"/>
              <w:spacing w:beforeLines="20"/>
              <w:ind w:firstLine="420" w:firstLineChars="200"/>
              <w:rPr>
                <w:rFonts w:ascii="等线" w:hAnsi="等线"/>
                <w:b/>
              </w:rPr>
            </w:pPr>
            <w:r>
              <w:rPr>
                <w:rFonts w:hint="eastAsia" w:ascii="等线" w:hAnsi="等线"/>
                <w:b/>
              </w:rPr>
              <w:t>在国际会议上的特邀报告情况如下：</w:t>
            </w:r>
          </w:p>
          <w:tbl>
            <w:tblPr>
              <w:tblStyle w:val="17"/>
              <w:tblW w:w="828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
              <w:gridCol w:w="2845"/>
              <w:gridCol w:w="709"/>
              <w:gridCol w:w="2269"/>
              <w:gridCol w:w="1134"/>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Times New Roman" w:cs="宋体"/>
                      <w:b/>
                      <w:bCs/>
                      <w:kern w:val="0"/>
                    </w:rPr>
                    <w:t>序号</w:t>
                  </w: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宋体" w:cs="宋体"/>
                      <w:b/>
                      <w:bCs/>
                      <w:kern w:val="0"/>
                    </w:rPr>
                    <w:t>报告题目</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宋体" w:cs="宋体"/>
                      <w:b/>
                      <w:bCs/>
                      <w:kern w:val="0"/>
                    </w:rPr>
                    <w:t>报告人</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宋体" w:cs="宋体"/>
                      <w:b/>
                      <w:bCs/>
                      <w:kern w:val="0"/>
                    </w:rPr>
                    <w:t>会议名称</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宋体" w:cs="宋体"/>
                      <w:b/>
                      <w:bCs/>
                      <w:kern w:val="0"/>
                    </w:rPr>
                    <w:t>时间地点</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b/>
                      <w:bCs/>
                      <w:kern w:val="0"/>
                    </w:rPr>
                  </w:pPr>
                  <w:r>
                    <w:rPr>
                      <w:rFonts w:hint="eastAsia" w:ascii="Times New Roman" w:hAnsi="宋体" w:cs="宋体"/>
                      <w:b/>
                      <w:bCs/>
                      <w:kern w:val="0"/>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Catalytic Effects of Carbon Nanomaterials in Abiotic Transformation of Organic Contaminants,” presented at Sino-German Symposium on “Fate, Transport and Remediation of POPs in Soil and Groundwater</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陈威</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等线" w:cs="Times New Roman"/>
                      <w:color w:val="000000"/>
                      <w:szCs w:val="21"/>
                    </w:rPr>
                    <w:t>Sino-German Symposium on “Fate, Transport and Remediation of POPs in Soil and Groundwater”</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2017 April 17-22, Nanjing</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The prevalence, fate and Proliferation of antibiotic resistance genes in wastewater treatment plants</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罗义</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The 3rd  International Conference on Environmental Pollution and Health-Final Program</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2017年5月13-14日，中国广州</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Conjugative multi-resistant plasmids mediated ARGs proliferation in the environment</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微软雅黑"/>
                      <w:color w:val="000000"/>
                      <w:sz w:val="24"/>
                      <w:szCs w:val="24"/>
                    </w:rPr>
                  </w:pPr>
                  <w:r>
                    <w:rPr>
                      <w:rFonts w:hint="eastAsia" w:ascii="Times New Roman" w:hAnsi="Times New Roman" w:eastAsia="宋体" w:cs="微软雅黑"/>
                      <w:color w:val="000000"/>
                      <w:sz w:val="24"/>
                      <w:szCs w:val="24"/>
                    </w:rPr>
                    <w:t>罗义</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T</w:t>
                  </w:r>
                  <w:r>
                    <w:rPr>
                      <w:rFonts w:hint="eastAsia" w:ascii="Times New Roman" w:hAnsi="宋体" w:cs="Times New Roman"/>
                      <w:kern w:val="0"/>
                    </w:rPr>
                    <w:t xml:space="preserve">he </w:t>
                  </w:r>
                  <w:r>
                    <w:rPr>
                      <w:rFonts w:ascii="Times New Roman" w:hAnsi="宋体" w:cs="Times New Roman"/>
                      <w:kern w:val="0"/>
                    </w:rPr>
                    <w:t>33rd international conference of the society for environmental geochemistry and health (SEGH 2017)</w:t>
                  </w:r>
                </w:p>
              </w:tc>
              <w:tc>
                <w:tcPr>
                  <w:tcW w:w="1134" w:type="dxa"/>
                  <w:tcBorders>
                    <w:top w:val="single" w:color="auto" w:sz="8" w:space="0"/>
                    <w:left w:val="nil"/>
                    <w:bottom w:val="single" w:color="auto" w:sz="8" w:space="0"/>
                    <w:right w:val="single" w:color="auto" w:sz="8" w:space="0"/>
                  </w:tcBorders>
                  <w:vAlign w:val="center"/>
                </w:tcPr>
                <w:p>
                  <w:pPr>
                    <w:jc w:val="center"/>
                    <w:rPr>
                      <w:szCs w:val="21"/>
                    </w:rPr>
                  </w:pPr>
                  <w:r>
                    <w:rPr>
                      <w:rFonts w:hint="eastAsia"/>
                      <w:szCs w:val="21"/>
                    </w:rPr>
                    <w:t>2017年</w:t>
                  </w:r>
                  <w:r>
                    <w:rPr>
                      <w:szCs w:val="21"/>
                    </w:rPr>
                    <w:t>6</w:t>
                  </w:r>
                  <w:r>
                    <w:rPr>
                      <w:rFonts w:hint="eastAsia"/>
                      <w:szCs w:val="21"/>
                    </w:rPr>
                    <w:t>月30日-</w:t>
                  </w:r>
                  <w:r>
                    <w:rPr>
                      <w:szCs w:val="21"/>
                    </w:rPr>
                    <w:t>7</w:t>
                  </w:r>
                  <w:r>
                    <w:rPr>
                      <w:rFonts w:hint="eastAsia"/>
                      <w:szCs w:val="21"/>
                    </w:rPr>
                    <w:t>月4日</w:t>
                  </w:r>
                </w:p>
                <w:p>
                  <w:pPr>
                    <w:widowControl/>
                    <w:jc w:val="center"/>
                    <w:rPr>
                      <w:rFonts w:ascii="Times New Roman" w:hAnsi="宋体" w:cs="Times New Roman"/>
                      <w:kern w:val="0"/>
                    </w:rPr>
                  </w:pPr>
                  <w:r>
                    <w:rPr>
                      <w:rFonts w:hint="eastAsia"/>
                      <w:szCs w:val="21"/>
                    </w:rPr>
                    <w:t>广州</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微软雅黑"/>
                      <w:color w:val="000000"/>
                      <w:sz w:val="24"/>
                      <w:szCs w:val="24"/>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Isomeric analysis as a tool for sources apportionment for perfluoroalkyl acids in the environment</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祝凌燕</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The 3rd international conference on environmental pollution and health</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2017年5月13-14日，中国广州</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城市水文与海绵城市建设</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黄津辉</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第七届城市雨污水管理国际研讨会</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2017年5月10-13日  重庆</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大学使命与绿色创新</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徐鹤</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第二届创新教育国际论坛</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2017.4 上海</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Carbon Nanoparticles Mobilize Organic Chemicals in</w:t>
                  </w:r>
                  <w:r>
                    <w:rPr>
                      <w:rFonts w:hint="eastAsia" w:ascii="Times New Roman" w:hAnsi="宋体" w:cs="Times New Roman"/>
                      <w:kern w:val="0"/>
                    </w:rPr>
                    <w:t xml:space="preserve"> </w:t>
                  </w:r>
                  <w:r>
                    <w:rPr>
                      <w:rFonts w:ascii="Times New Roman" w:hAnsi="宋体" w:cs="Times New Roman"/>
                      <w:kern w:val="0"/>
                    </w:rPr>
                    <w:t>Subsurface: Environmental Implications and</w:t>
                  </w:r>
                  <w:r>
                    <w:rPr>
                      <w:rFonts w:hint="eastAsia" w:ascii="Times New Roman" w:hAnsi="宋体" w:cs="Times New Roman"/>
                      <w:kern w:val="0"/>
                    </w:rPr>
                    <w:t xml:space="preserve"> </w:t>
                  </w:r>
                  <w:r>
                    <w:rPr>
                      <w:rFonts w:ascii="Times New Roman" w:hAnsi="宋体" w:cs="Times New Roman"/>
                      <w:kern w:val="0"/>
                    </w:rPr>
                    <w:t>Potential Applications</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陈威</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33rd International Conference of the Society for Environmental</w:t>
                  </w:r>
                  <w:r>
                    <w:rPr>
                      <w:rFonts w:hint="eastAsia" w:ascii="Times New Roman" w:hAnsi="宋体" w:cs="Times New Roman"/>
                      <w:kern w:val="0"/>
                    </w:rPr>
                    <w:t xml:space="preserve"> </w:t>
                  </w:r>
                  <w:r>
                    <w:rPr>
                      <w:rFonts w:ascii="Times New Roman" w:hAnsi="宋体" w:cs="Times New Roman"/>
                      <w:kern w:val="0"/>
                    </w:rPr>
                    <w:t>Geochemistry and Health (SEGH 2017)</w:t>
                  </w:r>
                </w:p>
              </w:tc>
              <w:tc>
                <w:tcPr>
                  <w:tcW w:w="1134" w:type="dxa"/>
                  <w:tcBorders>
                    <w:top w:val="single" w:color="auto" w:sz="8" w:space="0"/>
                    <w:left w:val="nil"/>
                    <w:bottom w:val="single" w:color="auto" w:sz="8" w:space="0"/>
                    <w:right w:val="single" w:color="auto" w:sz="8" w:space="0"/>
                  </w:tcBorders>
                  <w:vAlign w:val="center"/>
                </w:tcPr>
                <w:p>
                  <w:pPr>
                    <w:widowControl/>
                    <w:jc w:val="center"/>
                    <w:rPr>
                      <w:szCs w:val="21"/>
                    </w:rPr>
                  </w:pPr>
                  <w:r>
                    <w:rPr>
                      <w:rFonts w:hint="eastAsia"/>
                      <w:szCs w:val="21"/>
                    </w:rPr>
                    <w:t>2017年6月</w:t>
                  </w:r>
                  <w:r>
                    <w:rPr>
                      <w:szCs w:val="21"/>
                    </w:rPr>
                    <w:t xml:space="preserve"> </w:t>
                  </w:r>
                  <w:r>
                    <w:rPr>
                      <w:rFonts w:hint="eastAsia"/>
                      <w:szCs w:val="21"/>
                    </w:rPr>
                    <w:t>30-7月4,</w:t>
                  </w:r>
                </w:p>
                <w:p>
                  <w:pPr>
                    <w:widowControl/>
                    <w:jc w:val="center"/>
                    <w:rPr>
                      <w:rFonts w:ascii="Times New Roman" w:hAnsi="宋体" w:cs="Times New Roman"/>
                      <w:kern w:val="0"/>
                    </w:rPr>
                  </w:pPr>
                  <w:r>
                    <w:rPr>
                      <w:rFonts w:hint="eastAsia"/>
                      <w:szCs w:val="21"/>
                    </w:rPr>
                    <w:t>广州</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highlight w:val="yellow"/>
                    </w:rPr>
                  </w:pPr>
                  <w:r>
                    <w:rPr>
                      <w:rFonts w:ascii="Times New Roman" w:hAnsi="宋体" w:cs="Times New Roman"/>
                      <w:kern w:val="0"/>
                    </w:rPr>
                    <w:t xml:space="preserve">Catalytic Effects of Carbon Nanomaterials in </w:t>
                  </w:r>
                  <w:r>
                    <w:rPr>
                      <w:rFonts w:hint="eastAsia" w:ascii="Times New Roman" w:hAnsi="宋体" w:cs="Times New Roman"/>
                      <w:kern w:val="0"/>
                    </w:rPr>
                    <w:t xml:space="preserve">Abiotic </w:t>
                  </w:r>
                  <w:r>
                    <w:rPr>
                      <w:rFonts w:ascii="Times New Roman" w:hAnsi="宋体" w:cs="Times New Roman"/>
                      <w:kern w:val="0"/>
                    </w:rPr>
                    <w:t>Transformation of Organic Contaminants</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Times New Roman" w:eastAsia="宋体" w:cs="微软雅黑"/>
                      <w:color w:val="000000"/>
                      <w:sz w:val="24"/>
                      <w:szCs w:val="24"/>
                    </w:rPr>
                    <w:t>陈威</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宋体" w:cs="Times New Roman"/>
                      <w:kern w:val="0"/>
                    </w:rPr>
                    <w:t>Sixth Sustainable Nanotechnology Organization Conference</w:t>
                  </w:r>
                </w:p>
              </w:tc>
              <w:tc>
                <w:tcPr>
                  <w:tcW w:w="1134" w:type="dxa"/>
                  <w:tcBorders>
                    <w:top w:val="single" w:color="auto" w:sz="8" w:space="0"/>
                    <w:left w:val="nil"/>
                    <w:bottom w:val="single" w:color="auto" w:sz="8" w:space="0"/>
                    <w:right w:val="single" w:color="auto" w:sz="8" w:space="0"/>
                  </w:tcBorders>
                  <w:vAlign w:val="center"/>
                </w:tcPr>
                <w:p>
                  <w:pPr>
                    <w:widowControl/>
                    <w:jc w:val="center"/>
                    <w:rPr>
                      <w:szCs w:val="21"/>
                    </w:rPr>
                  </w:pPr>
                  <w:r>
                    <w:rPr>
                      <w:rFonts w:hint="eastAsia"/>
                      <w:szCs w:val="21"/>
                    </w:rPr>
                    <w:t>2017</w:t>
                  </w:r>
                  <w:r>
                    <w:rPr>
                      <w:szCs w:val="21"/>
                    </w:rPr>
                    <w:t xml:space="preserve">, </w:t>
                  </w:r>
                  <w:r>
                    <w:rPr>
                      <w:rFonts w:hint="eastAsia"/>
                      <w:szCs w:val="21"/>
                    </w:rPr>
                    <w:t>November 5-7</w:t>
                  </w:r>
                </w:p>
                <w:p>
                  <w:pPr>
                    <w:widowControl/>
                    <w:jc w:val="center"/>
                    <w:rPr>
                      <w:rFonts w:ascii="Times New Roman" w:hAnsi="宋体" w:cs="Times New Roman"/>
                      <w:kern w:val="0"/>
                    </w:rPr>
                  </w:pPr>
                  <w:r>
                    <w:rPr>
                      <w:rFonts w:hint="eastAsia"/>
                      <w:szCs w:val="21"/>
                    </w:rPr>
                    <w:t>Los Angeles</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top"/>
                </w:tcPr>
                <w:p>
                  <w:pPr>
                    <w:widowControl/>
                    <w:jc w:val="center"/>
                    <w:rPr>
                      <w:rFonts w:ascii="Times New Roman" w:hAnsi="宋体" w:cs="Times New Roman"/>
                      <w:kern w:val="0"/>
                      <w:highlight w:val="yellow"/>
                    </w:rPr>
                  </w:pPr>
                  <w:r>
                    <w:rPr>
                      <w:rFonts w:ascii="Times New Roman" w:hAnsi="宋体" w:cs="Times New Roman"/>
                      <w:kern w:val="0"/>
                    </w:rPr>
                    <w:t>I</w:t>
                  </w:r>
                  <w:r>
                    <w:rPr>
                      <w:rFonts w:hint="eastAsia" w:ascii="Times New Roman" w:hAnsi="宋体" w:cs="Times New Roman"/>
                      <w:kern w:val="0"/>
                    </w:rPr>
                    <w:t xml:space="preserve">mpacts of nanomaterials on bioaccumulation </w:t>
                  </w:r>
                  <w:r>
                    <w:rPr>
                      <w:rFonts w:ascii="Times New Roman" w:hAnsi="宋体" w:cs="Times New Roman"/>
                      <w:kern w:val="0"/>
                    </w:rPr>
                    <w:t>of organic pollutants in the environment</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祝凌燕</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T</w:t>
                  </w:r>
                  <w:r>
                    <w:rPr>
                      <w:rFonts w:hint="eastAsia" w:ascii="Times New Roman" w:hAnsi="宋体" w:cs="Times New Roman"/>
                      <w:kern w:val="0"/>
                    </w:rPr>
                    <w:t xml:space="preserve">he </w:t>
                  </w:r>
                  <w:r>
                    <w:rPr>
                      <w:rFonts w:ascii="Times New Roman" w:hAnsi="宋体" w:cs="Times New Roman"/>
                      <w:kern w:val="0"/>
                    </w:rPr>
                    <w:t>33rd international conference of the society for environmental geochemistry and health (SEGH 2017)</w:t>
                  </w:r>
                </w:p>
              </w:tc>
              <w:tc>
                <w:tcPr>
                  <w:tcW w:w="1134" w:type="dxa"/>
                  <w:tcBorders>
                    <w:top w:val="single" w:color="auto" w:sz="8" w:space="0"/>
                    <w:left w:val="nil"/>
                    <w:bottom w:val="single" w:color="auto" w:sz="8" w:space="0"/>
                    <w:right w:val="single" w:color="auto" w:sz="8" w:space="0"/>
                  </w:tcBorders>
                  <w:vAlign w:val="center"/>
                </w:tcPr>
                <w:p>
                  <w:pPr>
                    <w:jc w:val="center"/>
                    <w:rPr>
                      <w:szCs w:val="21"/>
                    </w:rPr>
                  </w:pPr>
                  <w:r>
                    <w:rPr>
                      <w:rFonts w:hint="eastAsia"/>
                      <w:szCs w:val="21"/>
                    </w:rPr>
                    <w:t>2017年</w:t>
                  </w:r>
                  <w:r>
                    <w:rPr>
                      <w:szCs w:val="21"/>
                    </w:rPr>
                    <w:t>6</w:t>
                  </w:r>
                  <w:r>
                    <w:rPr>
                      <w:rFonts w:hint="eastAsia"/>
                      <w:szCs w:val="21"/>
                    </w:rPr>
                    <w:t>月30日-</w:t>
                  </w:r>
                  <w:r>
                    <w:rPr>
                      <w:szCs w:val="21"/>
                    </w:rPr>
                    <w:t>7</w:t>
                  </w:r>
                  <w:r>
                    <w:rPr>
                      <w:rFonts w:hint="eastAsia"/>
                      <w:szCs w:val="21"/>
                    </w:rPr>
                    <w:t>月4日</w:t>
                  </w:r>
                </w:p>
                <w:p>
                  <w:pPr>
                    <w:widowControl/>
                    <w:jc w:val="center"/>
                    <w:rPr>
                      <w:rFonts w:ascii="Times New Roman" w:hAnsi="宋体" w:cs="Times New Roman"/>
                      <w:kern w:val="0"/>
                    </w:rPr>
                  </w:pPr>
                  <w:r>
                    <w:rPr>
                      <w:rFonts w:hint="eastAsia"/>
                      <w:szCs w:val="21"/>
                    </w:rPr>
                    <w:t>广州</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4" w:type="dxa"/>
                  <w:tcBorders>
                    <w:top w:val="single" w:color="auto" w:sz="8" w:space="0"/>
                    <w:left w:val="single" w:color="auto" w:sz="8" w:space="0"/>
                    <w:bottom w:val="single" w:color="auto" w:sz="8" w:space="0"/>
                    <w:right w:val="single" w:color="auto" w:sz="8" w:space="0"/>
                  </w:tcBorders>
                  <w:vAlign w:val="center"/>
                </w:tcPr>
                <w:p>
                  <w:pPr>
                    <w:pStyle w:val="19"/>
                    <w:widowControl/>
                    <w:numPr>
                      <w:ilvl w:val="0"/>
                      <w:numId w:val="4"/>
                    </w:numPr>
                    <w:ind w:firstLineChars="0"/>
                    <w:jc w:val="center"/>
                    <w:rPr>
                      <w:rFonts w:ascii="Times New Roman" w:hAnsi="宋体" w:cs="Times New Roman"/>
                      <w:kern w:val="0"/>
                    </w:rPr>
                  </w:pPr>
                </w:p>
              </w:tc>
              <w:tc>
                <w:tcPr>
                  <w:tcW w:w="28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宋体" w:cs="Times New Roman"/>
                      <w:kern w:val="0"/>
                      <w:highlight w:val="yellow"/>
                    </w:rPr>
                  </w:pPr>
                  <w:r>
                    <w:rPr>
                      <w:rFonts w:hint="eastAsia" w:ascii="Times New Roman" w:hAnsi="宋体" w:cs="Times New Roman"/>
                      <w:kern w:val="0"/>
                    </w:rPr>
                    <w:t>Nano</w:t>
                  </w:r>
                  <w:r>
                    <w:rPr>
                      <w:rFonts w:ascii="Times New Roman" w:hAnsi="宋体" w:cs="Times New Roman"/>
                      <w:kern w:val="0"/>
                    </w:rPr>
                    <w:t>-TiO2 in natural aquatic environment and impacts on transformation of organic pollutants</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hint="eastAsia" w:ascii="Times New Roman" w:hAnsi="Times New Roman" w:eastAsia="宋体" w:cs="微软雅黑"/>
                      <w:color w:val="000000"/>
                      <w:sz w:val="24"/>
                      <w:szCs w:val="24"/>
                    </w:rPr>
                    <w:t>祝凌燕</w:t>
                  </w:r>
                </w:p>
              </w:tc>
              <w:tc>
                <w:tcPr>
                  <w:tcW w:w="2269"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Times New Roman"/>
                      <w:kern w:val="0"/>
                    </w:rPr>
                  </w:pPr>
                  <w:r>
                    <w:rPr>
                      <w:rFonts w:ascii="Times New Roman" w:hAnsi="宋体" w:cs="Times New Roman"/>
                      <w:kern w:val="0"/>
                    </w:rPr>
                    <w:t>P</w:t>
                  </w:r>
                  <w:r>
                    <w:rPr>
                      <w:rFonts w:hint="eastAsia" w:ascii="Times New Roman" w:hAnsi="宋体" w:cs="Times New Roman"/>
                      <w:kern w:val="0"/>
                    </w:rPr>
                    <w:t>ro</w:t>
                  </w:r>
                  <w:r>
                    <w:rPr>
                      <w:rFonts w:ascii="Times New Roman" w:hAnsi="宋体" w:cs="Times New Roman"/>
                      <w:kern w:val="0"/>
                    </w:rPr>
                    <w:t>ceedings of the 2017 international symposium on environmental science and technology</w:t>
                  </w:r>
                </w:p>
              </w:tc>
              <w:tc>
                <w:tcPr>
                  <w:tcW w:w="1134" w:type="dxa"/>
                  <w:tcBorders>
                    <w:top w:val="single" w:color="auto" w:sz="8" w:space="0"/>
                    <w:left w:val="nil"/>
                    <w:bottom w:val="single" w:color="auto" w:sz="8" w:space="0"/>
                    <w:right w:val="single" w:color="auto" w:sz="8" w:space="0"/>
                  </w:tcBorders>
                  <w:vAlign w:val="center"/>
                </w:tcPr>
                <w:p>
                  <w:pPr>
                    <w:jc w:val="center"/>
                    <w:rPr>
                      <w:szCs w:val="21"/>
                    </w:rPr>
                  </w:pPr>
                  <w:r>
                    <w:rPr>
                      <w:rFonts w:hint="eastAsia"/>
                      <w:szCs w:val="21"/>
                    </w:rPr>
                    <w:t>2017年</w:t>
                  </w:r>
                  <w:r>
                    <w:rPr>
                      <w:szCs w:val="21"/>
                    </w:rPr>
                    <w:t>9</w:t>
                  </w:r>
                  <w:r>
                    <w:rPr>
                      <w:rFonts w:hint="eastAsia"/>
                      <w:szCs w:val="21"/>
                    </w:rPr>
                    <w:t>月19日-</w:t>
                  </w:r>
                  <w:r>
                    <w:rPr>
                      <w:szCs w:val="21"/>
                    </w:rPr>
                    <w:t>22</w:t>
                  </w:r>
                  <w:r>
                    <w:rPr>
                      <w:rFonts w:hint="eastAsia"/>
                      <w:szCs w:val="21"/>
                    </w:rPr>
                    <w:t>日</w:t>
                  </w:r>
                </w:p>
                <w:p>
                  <w:pPr>
                    <w:widowControl/>
                    <w:jc w:val="center"/>
                    <w:rPr>
                      <w:rFonts w:ascii="Times New Roman" w:hAnsi="宋体" w:cs="Times New Roman"/>
                      <w:kern w:val="0"/>
                    </w:rPr>
                  </w:pPr>
                  <w:r>
                    <w:rPr>
                      <w:rFonts w:hint="eastAsia"/>
                      <w:szCs w:val="21"/>
                    </w:rPr>
                    <w:t>北京</w:t>
                  </w:r>
                </w:p>
              </w:tc>
              <w:tc>
                <w:tcPr>
                  <w:tcW w:w="905" w:type="dxa"/>
                  <w:tcBorders>
                    <w:top w:val="single" w:color="auto" w:sz="8" w:space="0"/>
                    <w:left w:val="nil"/>
                    <w:bottom w:val="single" w:color="auto" w:sz="8" w:space="0"/>
                    <w:right w:val="single" w:color="auto" w:sz="8" w:space="0"/>
                  </w:tcBorders>
                  <w:vAlign w:val="center"/>
                </w:tcPr>
                <w:p>
                  <w:pPr>
                    <w:widowControl/>
                    <w:jc w:val="center"/>
                    <w:rPr>
                      <w:rFonts w:ascii="Times New Roman" w:hAnsi="宋体" w:cs="宋体"/>
                      <w:kern w:val="0"/>
                    </w:rPr>
                  </w:pPr>
                  <w:r>
                    <w:rPr>
                      <w:rFonts w:hint="eastAsia" w:ascii="Times New Roman" w:hAnsi="Times New Roman" w:eastAsia="宋体" w:cs="微软雅黑"/>
                      <w:color w:val="000000"/>
                      <w:sz w:val="24"/>
                      <w:szCs w:val="24"/>
                    </w:rPr>
                    <w:t>特邀报告</w:t>
                  </w:r>
                </w:p>
              </w:tc>
            </w:tr>
          </w:tbl>
          <w:p>
            <w:pPr>
              <w:adjustRightInd w:val="0"/>
              <w:snapToGrid w:val="0"/>
              <w:spacing w:beforeLines="20"/>
              <w:rPr>
                <w:rFonts w:ascii="等线" w:hAnsi="等线"/>
              </w:rPr>
            </w:pPr>
          </w:p>
        </w:tc>
      </w:tr>
    </w:tbl>
    <w:p>
      <w:pPr>
        <w:adjustRightInd w:val="0"/>
        <w:snapToGrid w:val="0"/>
        <w:spacing w:line="360" w:lineRule="auto"/>
        <w:rPr>
          <w:rFonts w:ascii="Times New Roman" w:hAnsi="Times New Roman" w:eastAsia="黑体" w:cs="Times New Roman"/>
          <w:b/>
          <w:sz w:val="24"/>
          <w:szCs w:val="24"/>
        </w:rPr>
      </w:pPr>
    </w:p>
    <w:p>
      <w:pPr>
        <w:adjustRightInd w:val="0"/>
        <w:snapToGrid w:val="0"/>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（4）科学传播</w:t>
      </w:r>
    </w:p>
    <w:tbl>
      <w:tblPr>
        <w:tblStyle w:val="17"/>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8302" w:type="dxa"/>
            <w:vAlign w:val="top"/>
          </w:tcPr>
          <w:p>
            <w:pPr>
              <w:adjustRightInd w:val="0"/>
              <w:snapToGrid w:val="0"/>
              <w:spacing w:beforeLines="20"/>
              <w:ind w:firstLine="480" w:firstLineChars="200"/>
              <w:rPr>
                <w:rFonts w:ascii="宋体" w:hAnsi="宋体" w:eastAsia="宋体" w:cs="宋体"/>
                <w:b/>
                <w:color w:val="000000"/>
                <w:sz w:val="24"/>
                <w:szCs w:val="24"/>
              </w:rPr>
            </w:pPr>
            <w:r>
              <w:rPr>
                <w:rFonts w:ascii="Times New Roman" w:hAnsi="Times New Roman" w:eastAsia="楷体_GB2312" w:cs="Times New Roman"/>
                <w:color w:val="000000"/>
                <w:sz w:val="24"/>
                <w:szCs w:val="24"/>
              </w:rPr>
              <w:t>简述实验室本年度在科学传播方面的举措和效果。</w:t>
            </w:r>
          </w:p>
          <w:p>
            <w:pPr>
              <w:adjustRightInd w:val="0"/>
              <w:snapToGrid w:val="0"/>
              <w:spacing w:beforeLines="50" w:line="400" w:lineRule="exact"/>
              <w:ind w:firstLine="600" w:firstLineChars="250"/>
              <w:rPr>
                <w:rFonts w:ascii="宋体" w:hAnsi="宋体" w:eastAsia="宋体"/>
                <w:sz w:val="24"/>
                <w:szCs w:val="24"/>
              </w:rPr>
            </w:pPr>
            <w:r>
              <w:rPr>
                <w:rFonts w:hint="eastAsia" w:ascii="宋体" w:hAnsi="宋体" w:eastAsia="宋体"/>
                <w:sz w:val="24"/>
                <w:szCs w:val="24"/>
              </w:rPr>
              <w:t>重点实验室十分重视科学传播活动。将科学传播工作与学生社团活动相结合，</w:t>
            </w:r>
            <w:r>
              <w:rPr>
                <w:rFonts w:ascii="宋体" w:hAnsi="宋体" w:eastAsia="宋体"/>
                <w:sz w:val="24"/>
                <w:szCs w:val="24"/>
              </w:rPr>
              <w:t>提升学生</w:t>
            </w:r>
            <w:r>
              <w:rPr>
                <w:rFonts w:hint="eastAsia" w:ascii="宋体" w:hAnsi="宋体" w:eastAsia="宋体"/>
                <w:sz w:val="24"/>
                <w:szCs w:val="24"/>
              </w:rPr>
              <w:t>社会</w:t>
            </w:r>
            <w:r>
              <w:rPr>
                <w:rFonts w:ascii="宋体" w:hAnsi="宋体" w:eastAsia="宋体"/>
                <w:sz w:val="24"/>
                <w:szCs w:val="24"/>
              </w:rPr>
              <w:t>实践能力</w:t>
            </w:r>
            <w:r>
              <w:rPr>
                <w:rFonts w:hint="eastAsia" w:ascii="宋体" w:hAnsi="宋体" w:eastAsia="宋体"/>
                <w:sz w:val="24"/>
                <w:szCs w:val="24"/>
              </w:rPr>
              <w:t>、服务</w:t>
            </w:r>
            <w:r>
              <w:rPr>
                <w:rFonts w:ascii="宋体" w:hAnsi="宋体" w:eastAsia="宋体"/>
                <w:sz w:val="24"/>
                <w:szCs w:val="24"/>
              </w:rPr>
              <w:t>社会</w:t>
            </w:r>
            <w:r>
              <w:rPr>
                <w:rFonts w:hint="eastAsia" w:ascii="宋体" w:hAnsi="宋体" w:eastAsia="宋体"/>
                <w:sz w:val="24"/>
                <w:szCs w:val="24"/>
              </w:rPr>
              <w:t>能力。鼓励学生走出校园，服务社会。</w:t>
            </w:r>
          </w:p>
          <w:p>
            <w:pPr>
              <w:adjustRightInd w:val="0"/>
              <w:snapToGrid w:val="0"/>
              <w:spacing w:line="400" w:lineRule="exact"/>
              <w:ind w:firstLine="600" w:firstLineChars="250"/>
              <w:rPr>
                <w:rFonts w:ascii="宋体" w:hAnsi="宋体" w:eastAsia="宋体"/>
                <w:sz w:val="24"/>
                <w:szCs w:val="24"/>
              </w:rPr>
            </w:pPr>
            <w:r>
              <w:rPr>
                <w:rFonts w:hint="eastAsia" w:ascii="宋体" w:hAnsi="宋体" w:eastAsia="宋体"/>
                <w:sz w:val="24"/>
                <w:szCs w:val="24"/>
              </w:rPr>
              <w:t>在连续五年举办环境文化节的基础上，</w:t>
            </w:r>
            <w:r>
              <w:rPr>
                <w:rFonts w:ascii="宋体" w:hAnsi="宋体" w:eastAsia="宋体"/>
                <w:sz w:val="24"/>
                <w:szCs w:val="24"/>
              </w:rPr>
              <w:t>2017年</w:t>
            </w:r>
            <w:r>
              <w:rPr>
                <w:rFonts w:hint="eastAsia" w:ascii="宋体" w:hAnsi="宋体" w:eastAsia="宋体"/>
                <w:sz w:val="24"/>
                <w:szCs w:val="24"/>
              </w:rPr>
              <w:t>举办</w:t>
            </w:r>
            <w:r>
              <w:rPr>
                <w:rFonts w:ascii="宋体" w:hAnsi="宋体" w:eastAsia="宋体"/>
                <w:sz w:val="24"/>
                <w:szCs w:val="24"/>
              </w:rPr>
              <w:t>的</w:t>
            </w:r>
            <w:r>
              <w:rPr>
                <w:rFonts w:hint="eastAsia" w:ascii="宋体" w:hAnsi="宋体" w:eastAsia="宋体"/>
                <w:sz w:val="24"/>
                <w:szCs w:val="24"/>
              </w:rPr>
              <w:t>第六届“绿色</w:t>
            </w:r>
            <w:r>
              <w:rPr>
                <w:rFonts w:ascii="宋体" w:hAnsi="宋体" w:eastAsia="宋体"/>
                <w:sz w:val="24"/>
                <w:szCs w:val="24"/>
              </w:rPr>
              <w:t>WE来”环境文化节</w:t>
            </w:r>
            <w:r>
              <w:rPr>
                <w:rFonts w:hint="eastAsia" w:ascii="宋体" w:hAnsi="宋体" w:eastAsia="宋体"/>
                <w:sz w:val="24"/>
                <w:szCs w:val="24"/>
              </w:rPr>
              <w:t>围绕</w:t>
            </w:r>
            <w:r>
              <w:rPr>
                <w:rFonts w:ascii="宋体" w:hAnsi="宋体" w:eastAsia="宋体"/>
                <w:sz w:val="24"/>
                <w:szCs w:val="24"/>
              </w:rPr>
              <w:t>生态环保</w:t>
            </w:r>
            <w:r>
              <w:rPr>
                <w:rFonts w:hint="eastAsia" w:ascii="宋体" w:hAnsi="宋体" w:eastAsia="宋体"/>
                <w:sz w:val="24"/>
                <w:szCs w:val="24"/>
              </w:rPr>
              <w:t>主题，</w:t>
            </w:r>
            <w:r>
              <w:rPr>
                <w:rFonts w:ascii="宋体" w:hAnsi="宋体" w:eastAsia="宋体"/>
                <w:sz w:val="24"/>
                <w:szCs w:val="24"/>
              </w:rPr>
              <w:t>加强与中新生态城的合作，活动包括“南开环境讲坛”系列讲座、“绿色环保行”活动、环保微电影活动、“地球一小时”主题公益活动和闭幕式晚会等宣传环保理念，普及环境知识的活动。</w:t>
            </w:r>
            <w:r>
              <w:rPr>
                <w:rFonts w:hint="eastAsia" w:ascii="宋体" w:hAnsi="宋体" w:eastAsia="宋体"/>
                <w:sz w:val="24"/>
                <w:szCs w:val="24"/>
              </w:rPr>
              <w:t>在京津冀一体化大格局下，为推动生态文明建设，进一步提升青年学生的创新创业精神，在去年第二届京津冀青年环保风云会的基础上，于今年开展了题为“生态文明建设与青年责任”的首届全国青年环保风云会。云集了中国科学院院士、中国工程院院士以及来自清华大学、北京大学、上海交通大学、南开大学等全国</w:t>
            </w:r>
            <w:r>
              <w:rPr>
                <w:rFonts w:ascii="宋体" w:hAnsi="宋体" w:eastAsia="宋体"/>
                <w:sz w:val="24"/>
                <w:szCs w:val="24"/>
              </w:rPr>
              <w:t>73所高校以及天津市30中学的青年志愿者代表，</w:t>
            </w:r>
            <w:r>
              <w:rPr>
                <w:rFonts w:hint="eastAsia" w:ascii="宋体" w:hAnsi="宋体" w:eastAsia="宋体"/>
                <w:sz w:val="24"/>
                <w:szCs w:val="24"/>
              </w:rPr>
              <w:t>探索生态文明建设领域中多学科协同创新、多方面合作创业的新思路和新理念。</w:t>
            </w:r>
          </w:p>
          <w:p>
            <w:pPr>
              <w:adjustRightInd w:val="0"/>
              <w:snapToGrid w:val="0"/>
              <w:spacing w:line="400" w:lineRule="exact"/>
              <w:ind w:firstLine="600" w:firstLineChars="250"/>
              <w:rPr>
                <w:rFonts w:ascii="宋体" w:hAnsi="宋体" w:eastAsia="宋体"/>
                <w:sz w:val="24"/>
                <w:szCs w:val="24"/>
              </w:rPr>
            </w:pPr>
            <w:r>
              <w:rPr>
                <w:rFonts w:hint="eastAsia" w:ascii="宋体" w:hAnsi="宋体" w:eastAsia="宋体"/>
                <w:sz w:val="24"/>
                <w:szCs w:val="24"/>
              </w:rPr>
              <w:t>在首届全国青年环保风云会成功举办的基础上，进一步整合资源，申报《“霾斗士”京津冀大学生参与空气治理协同创新与服务平台》项目，获团中央“中国青年丰田环境保护资助行动”立项，并在</w:t>
            </w:r>
            <w:r>
              <w:rPr>
                <w:rFonts w:ascii="宋体" w:hAnsi="宋体" w:eastAsia="宋体"/>
                <w:sz w:val="24"/>
                <w:szCs w:val="24"/>
              </w:rPr>
              <w:t>2017年持续深化此次项目，完善项目的实施开展，为南开学子乃至京津冀地区大学生参与推动生态文明建设，参与环保事业搭建了平台。</w:t>
            </w:r>
          </w:p>
          <w:p>
            <w:pPr>
              <w:ind w:firstLine="600"/>
              <w:rPr>
                <w:rFonts w:ascii="仿宋" w:hAnsi="仿宋" w:eastAsia="仿宋"/>
                <w:sz w:val="28"/>
                <w:szCs w:val="28"/>
              </w:rPr>
            </w:pPr>
            <w:r>
              <w:rPr>
                <w:rFonts w:hint="eastAsia" w:ascii="宋体" w:hAnsi="宋体" w:eastAsia="宋体"/>
                <w:sz w:val="24"/>
                <w:szCs w:val="24"/>
              </w:rPr>
              <w:t>在去年成立京津冀大学生生态文明联盟的基础上，成立“全国大学生生态文明联盟”、“天津市生态教育示范校中学联盟”，并于</w:t>
            </w:r>
            <w:r>
              <w:rPr>
                <w:rFonts w:ascii="宋体" w:hAnsi="宋体" w:eastAsia="宋体"/>
                <w:sz w:val="24"/>
                <w:szCs w:val="24"/>
              </w:rPr>
              <w:t>2017年组织多次联盟会议。联盟的成立将使我们走在全国大学生环保组织合作化、一体化运动的前列，并将在全国环保活动中产生积极而深远的影响。学院将为更多高校学子提供交流学习的平台，在全国大学生生态文明联盟的框架下，为推进生态文明建设，推进我国环保事业的发展做出更多积极的贡献。</w:t>
            </w:r>
          </w:p>
        </w:tc>
      </w:tr>
    </w:tbl>
    <w:p>
      <w:pPr>
        <w:adjustRightInd w:val="0"/>
        <w:snapToGrid w:val="0"/>
        <w:ind w:firstLine="643" w:firstLineChars="200"/>
        <w:rPr>
          <w:rFonts w:ascii="Times New Roman" w:hAnsi="Times New Roman" w:eastAsia="黑体" w:cs="Times New Roman"/>
          <w:b/>
          <w:sz w:val="32"/>
          <w:szCs w:val="24"/>
        </w:rPr>
      </w:pPr>
    </w:p>
    <w:p>
      <w:pPr>
        <w:adjustRightInd w:val="0"/>
        <w:snapToGrid w:val="0"/>
        <w:ind w:firstLine="643" w:firstLineChars="200"/>
        <w:rPr>
          <w:rFonts w:ascii="Times New Roman" w:hAnsi="Times New Roman" w:eastAsia="黑体" w:cs="Times New Roman"/>
          <w:b/>
          <w:sz w:val="28"/>
          <w:szCs w:val="24"/>
        </w:rPr>
      </w:pPr>
      <w:r>
        <w:rPr>
          <w:rFonts w:ascii="Times New Roman" w:hAnsi="Times New Roman" w:eastAsia="黑体" w:cs="Times New Roman"/>
          <w:b/>
          <w:sz w:val="32"/>
          <w:szCs w:val="24"/>
        </w:rPr>
        <w:t>2</w:t>
      </w:r>
      <w:r>
        <w:rPr>
          <w:rFonts w:ascii="Times New Roman" w:hAnsi="Times New Roman" w:eastAsia="黑体" w:cs="Times New Roman"/>
          <w:b/>
          <w:sz w:val="28"/>
          <w:szCs w:val="24"/>
        </w:rPr>
        <w:t>、运行管理</w:t>
      </w:r>
    </w:p>
    <w:p>
      <w:pPr>
        <w:adjustRightInd w:val="0"/>
        <w:snapToGrid w:val="0"/>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（1）学术委员会成员</w:t>
      </w:r>
    </w:p>
    <w:p>
      <w:pPr>
        <w:adjustRightInd w:val="0"/>
        <w:snapToGrid w:val="0"/>
        <w:ind w:firstLine="482" w:firstLineChars="200"/>
        <w:rPr>
          <w:rFonts w:ascii="Times New Roman" w:hAnsi="Times New Roman" w:eastAsia="黑体" w:cs="Times New Roman"/>
          <w:b/>
          <w:sz w:val="24"/>
          <w:szCs w:val="24"/>
        </w:rPr>
      </w:pP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6"/>
        <w:gridCol w:w="702"/>
        <w:gridCol w:w="933"/>
        <w:gridCol w:w="501"/>
        <w:gridCol w:w="326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序号</w:t>
            </w:r>
          </w:p>
        </w:tc>
        <w:tc>
          <w:tcPr>
            <w:tcW w:w="1126"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姓名</w:t>
            </w:r>
          </w:p>
        </w:tc>
        <w:tc>
          <w:tcPr>
            <w:tcW w:w="702"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性别</w:t>
            </w:r>
          </w:p>
        </w:tc>
        <w:tc>
          <w:tcPr>
            <w:tcW w:w="933"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职称</w:t>
            </w:r>
          </w:p>
        </w:tc>
        <w:tc>
          <w:tcPr>
            <w:tcW w:w="501"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年龄</w:t>
            </w:r>
          </w:p>
        </w:tc>
        <w:tc>
          <w:tcPr>
            <w:tcW w:w="3264"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所在单位</w:t>
            </w:r>
          </w:p>
        </w:tc>
        <w:tc>
          <w:tcPr>
            <w:tcW w:w="1116" w:type="dxa"/>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是否外籍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林学钰</w:t>
            </w:r>
          </w:p>
        </w:tc>
        <w:tc>
          <w:tcPr>
            <w:tcW w:w="70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女</w:t>
            </w:r>
          </w:p>
        </w:tc>
        <w:tc>
          <w:tcPr>
            <w:tcW w:w="93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80</w:t>
            </w:r>
          </w:p>
        </w:tc>
        <w:tc>
          <w:tcPr>
            <w:tcW w:w="3264" w:type="dxa"/>
            <w:vAlign w:val="center"/>
          </w:tcPr>
          <w:p>
            <w:pPr>
              <w:adjustRightInd w:val="0"/>
              <w:snapToGrid w:val="0"/>
              <w:jc w:val="center"/>
              <w:rPr>
                <w:rFonts w:ascii="宋体" w:hAnsi="宋体" w:eastAsia="宋体" w:cs="Times New Roman"/>
                <w:szCs w:val="21"/>
              </w:rPr>
            </w:pPr>
            <w:r>
              <w:rPr>
                <w:rFonts w:hint="eastAsia" w:ascii="宋体" w:hAnsi="宋体" w:eastAsia="宋体" w:cs="宋体"/>
                <w:kern w:val="0"/>
                <w:szCs w:val="21"/>
              </w:rPr>
              <w:t>吉林大学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陶 澍</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before="100" w:beforeAutospacing="1" w:after="100" w:afterAutospacing="1" w:line="400" w:lineRule="exact"/>
              <w:jc w:val="center"/>
              <w:rPr>
                <w:rFonts w:ascii="宋体" w:hAnsi="宋体" w:eastAsia="宋体" w:cs="Times New Roman"/>
                <w:kern w:val="0"/>
                <w:szCs w:val="21"/>
              </w:rPr>
            </w:pPr>
            <w:r>
              <w:rPr>
                <w:rFonts w:hint="eastAsia"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67</w:t>
            </w:r>
          </w:p>
        </w:tc>
        <w:tc>
          <w:tcPr>
            <w:tcW w:w="3264" w:type="dxa"/>
            <w:vAlign w:val="center"/>
          </w:tcPr>
          <w:p>
            <w:pPr>
              <w:adjustRightInd w:val="0"/>
              <w:snapToGrid w:val="0"/>
              <w:jc w:val="center"/>
              <w:rPr>
                <w:rFonts w:ascii="宋体" w:hAnsi="宋体" w:eastAsia="宋体" w:cs="Times New Roman"/>
                <w:szCs w:val="21"/>
              </w:rPr>
            </w:pPr>
            <w:r>
              <w:rPr>
                <w:rFonts w:hint="eastAsia" w:ascii="宋体" w:hAnsi="宋体" w:eastAsia="宋体" w:cs="宋体"/>
                <w:kern w:val="0"/>
                <w:szCs w:val="21"/>
              </w:rPr>
              <w:t>北京大学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任南琪</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before="100" w:beforeAutospacing="1" w:after="100" w:afterAutospacing="1" w:line="400" w:lineRule="exact"/>
              <w:jc w:val="center"/>
              <w:rPr>
                <w:rFonts w:ascii="宋体" w:hAnsi="宋体" w:eastAsia="宋体" w:cs="Times New Roman"/>
                <w:kern w:val="0"/>
                <w:szCs w:val="21"/>
              </w:rPr>
            </w:pPr>
            <w:r>
              <w:rPr>
                <w:rFonts w:hint="eastAsia"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58</w:t>
            </w:r>
          </w:p>
        </w:tc>
        <w:tc>
          <w:tcPr>
            <w:tcW w:w="3264" w:type="dxa"/>
            <w:vAlign w:val="center"/>
          </w:tcPr>
          <w:p>
            <w:pPr>
              <w:widowControl/>
              <w:spacing w:before="100" w:beforeAutospacing="1" w:after="100" w:afterAutospacing="1" w:line="400" w:lineRule="exact"/>
              <w:jc w:val="center"/>
              <w:rPr>
                <w:rFonts w:ascii="宋体" w:hAnsi="宋体" w:eastAsia="宋体" w:cs="宋体"/>
                <w:kern w:val="0"/>
                <w:szCs w:val="21"/>
              </w:rPr>
            </w:pPr>
            <w:r>
              <w:rPr>
                <w:rFonts w:hint="eastAsia" w:ascii="宋体" w:hAnsi="宋体" w:eastAsia="宋体" w:cs="宋体"/>
                <w:kern w:val="0"/>
                <w:szCs w:val="21"/>
              </w:rPr>
              <w:t>哈尔滨工业大学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应光国</w:t>
            </w:r>
          </w:p>
        </w:tc>
        <w:tc>
          <w:tcPr>
            <w:tcW w:w="702" w:type="dxa"/>
            <w:vAlign w:val="center"/>
          </w:tcPr>
          <w:p>
            <w:pPr>
              <w:adjustRightInd w:val="0"/>
              <w:snapToGrid w:val="0"/>
              <w:jc w:val="center"/>
              <w:rPr>
                <w:rFonts w:ascii="宋体" w:hAnsi="宋体" w:eastAsia="宋体" w:cs="Times New Roman"/>
                <w:kern w:val="0"/>
                <w:szCs w:val="21"/>
              </w:rPr>
            </w:pPr>
            <w:r>
              <w:rPr>
                <w:rFonts w:ascii="宋体" w:hAnsi="宋体" w:eastAsia="宋体" w:cs="Times New Roman"/>
                <w:kern w:val="0"/>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54</w:t>
            </w:r>
          </w:p>
        </w:tc>
        <w:tc>
          <w:tcPr>
            <w:tcW w:w="3264" w:type="dxa"/>
            <w:vAlign w:val="center"/>
          </w:tcPr>
          <w:p>
            <w:pPr>
              <w:widowControl/>
              <w:spacing w:before="100" w:beforeAutospacing="1" w:after="100" w:afterAutospacing="1" w:line="400" w:lineRule="exact"/>
              <w:jc w:val="center"/>
              <w:rPr>
                <w:rFonts w:ascii="宋体" w:hAnsi="宋体" w:eastAsia="宋体" w:cs="Times New Roman"/>
                <w:kern w:val="0"/>
                <w:szCs w:val="21"/>
              </w:rPr>
            </w:pPr>
            <w:r>
              <w:rPr>
                <w:rFonts w:ascii="宋体" w:hAnsi="宋体" w:eastAsia="宋体" w:cs="Times New Roman"/>
                <w:kern w:val="0"/>
                <w:szCs w:val="21"/>
              </w:rPr>
              <w:t>华南师范大学环境研究院</w:t>
            </w:r>
          </w:p>
        </w:tc>
        <w:tc>
          <w:tcPr>
            <w:tcW w:w="1116" w:type="dxa"/>
            <w:vAlign w:val="center"/>
          </w:tcPr>
          <w:p>
            <w:pPr>
              <w:adjustRightInd w:val="0"/>
              <w:snapToGrid w:val="0"/>
              <w:jc w:val="center"/>
              <w:rPr>
                <w:rFonts w:ascii="宋体" w:hAnsi="宋体" w:eastAsia="宋体" w:cs="Times New Roman"/>
                <w:kern w:val="0"/>
                <w:szCs w:val="21"/>
              </w:rPr>
            </w:pPr>
            <w:r>
              <w:rPr>
                <w:rFonts w:ascii="宋体" w:hAnsi="宋体" w:eastAsia="宋体" w:cs="Times New Roman"/>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彭平安</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研究员</w:t>
            </w:r>
          </w:p>
          <w:p>
            <w:pPr>
              <w:widowControl/>
              <w:spacing w:line="440" w:lineRule="exact"/>
              <w:jc w:val="center"/>
              <w:rPr>
                <w:rFonts w:ascii="宋体" w:hAnsi="宋体" w:eastAsia="宋体" w:cs="Times New Roman"/>
                <w:kern w:val="0"/>
                <w:szCs w:val="21"/>
              </w:rPr>
            </w:pP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57</w:t>
            </w:r>
          </w:p>
        </w:tc>
        <w:tc>
          <w:tcPr>
            <w:tcW w:w="3264" w:type="dxa"/>
            <w:vAlign w:val="center"/>
          </w:tcPr>
          <w:p>
            <w:pPr>
              <w:widowControl/>
              <w:spacing w:before="100" w:beforeAutospacing="1" w:after="100" w:afterAutospacing="1" w:line="400" w:lineRule="exact"/>
              <w:jc w:val="center"/>
              <w:rPr>
                <w:rFonts w:ascii="宋体" w:hAnsi="宋体" w:eastAsia="宋体" w:cs="宋体"/>
                <w:color w:val="FF0000"/>
                <w:kern w:val="0"/>
                <w:szCs w:val="21"/>
              </w:rPr>
            </w:pPr>
            <w:r>
              <w:rPr>
                <w:rFonts w:hint="eastAsia" w:ascii="宋体" w:hAnsi="宋体" w:eastAsia="宋体" w:cs="宋体"/>
                <w:kern w:val="0"/>
                <w:szCs w:val="21"/>
              </w:rPr>
              <w:t>中国科学院广州地球化学研究所</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吕永龙</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研究员</w:t>
            </w:r>
          </w:p>
          <w:p>
            <w:pPr>
              <w:widowControl/>
              <w:spacing w:line="440" w:lineRule="exact"/>
              <w:jc w:val="center"/>
              <w:rPr>
                <w:rFonts w:ascii="宋体" w:hAnsi="宋体" w:eastAsia="宋体" w:cs="Times New Roman"/>
                <w:kern w:val="0"/>
                <w:szCs w:val="21"/>
              </w:rPr>
            </w:pP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53</w:t>
            </w:r>
          </w:p>
        </w:tc>
        <w:tc>
          <w:tcPr>
            <w:tcW w:w="3264" w:type="dxa"/>
            <w:vAlign w:val="center"/>
          </w:tcPr>
          <w:p>
            <w:pPr>
              <w:adjustRightInd w:val="0"/>
              <w:snapToGrid w:val="0"/>
              <w:jc w:val="center"/>
              <w:rPr>
                <w:rFonts w:ascii="宋体" w:hAnsi="宋体" w:eastAsia="宋体" w:cs="Times New Roman"/>
                <w:szCs w:val="21"/>
              </w:rPr>
            </w:pPr>
            <w:r>
              <w:rPr>
                <w:rFonts w:hint="eastAsia" w:ascii="宋体" w:hAnsi="宋体" w:eastAsia="宋体" w:cs="宋体"/>
                <w:kern w:val="0"/>
                <w:szCs w:val="21"/>
              </w:rPr>
              <w:t>中科院</w:t>
            </w:r>
            <w:r>
              <w:rPr>
                <w:rFonts w:ascii="宋体" w:hAnsi="宋体" w:eastAsia="宋体" w:cs="宋体"/>
                <w:kern w:val="0"/>
                <w:szCs w:val="21"/>
              </w:rPr>
              <w:t>生态</w:t>
            </w:r>
            <w:r>
              <w:rPr>
                <w:rFonts w:hint="eastAsia" w:ascii="宋体" w:hAnsi="宋体" w:eastAsia="宋体" w:cs="宋体"/>
                <w:kern w:val="0"/>
                <w:szCs w:val="21"/>
              </w:rPr>
              <w:t>环境</w:t>
            </w:r>
            <w:r>
              <w:rPr>
                <w:rFonts w:ascii="宋体" w:hAnsi="宋体" w:eastAsia="宋体" w:cs="宋体"/>
                <w:kern w:val="0"/>
                <w:szCs w:val="21"/>
              </w:rPr>
              <w:t>研究中心</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张玉奎</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研究员</w:t>
            </w:r>
          </w:p>
          <w:p>
            <w:pPr>
              <w:widowControl/>
              <w:spacing w:line="440" w:lineRule="exact"/>
              <w:jc w:val="center"/>
              <w:rPr>
                <w:rFonts w:ascii="宋体" w:hAnsi="宋体" w:eastAsia="宋体" w:cs="Times New Roman"/>
                <w:kern w:val="0"/>
                <w:szCs w:val="21"/>
              </w:rPr>
            </w:pP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75</w:t>
            </w:r>
          </w:p>
        </w:tc>
        <w:tc>
          <w:tcPr>
            <w:tcW w:w="3264" w:type="dxa"/>
            <w:vAlign w:val="center"/>
          </w:tcPr>
          <w:p>
            <w:pPr>
              <w:widowControl/>
              <w:spacing w:before="100" w:beforeAutospacing="1" w:after="100" w:afterAutospacing="1" w:line="400" w:lineRule="exact"/>
              <w:jc w:val="center"/>
              <w:rPr>
                <w:rFonts w:ascii="宋体" w:hAnsi="宋体" w:eastAsia="宋体" w:cs="宋体"/>
                <w:kern w:val="0"/>
                <w:szCs w:val="21"/>
              </w:rPr>
            </w:pPr>
            <w:r>
              <w:rPr>
                <w:rFonts w:hint="eastAsia" w:ascii="宋体" w:hAnsi="宋体" w:eastAsia="宋体" w:cs="宋体"/>
                <w:kern w:val="0"/>
                <w:szCs w:val="21"/>
              </w:rPr>
              <w:t>中国科学院大连化学物理研究所</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朱利中</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58</w:t>
            </w:r>
          </w:p>
        </w:tc>
        <w:tc>
          <w:tcPr>
            <w:tcW w:w="3264" w:type="dxa"/>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浙江大学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余  刚</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52</w:t>
            </w:r>
          </w:p>
        </w:tc>
        <w:tc>
          <w:tcPr>
            <w:tcW w:w="3264" w:type="dxa"/>
            <w:vAlign w:val="center"/>
          </w:tcPr>
          <w:p>
            <w:pPr>
              <w:adjustRightInd w:val="0"/>
              <w:snapToGrid w:val="0"/>
              <w:jc w:val="center"/>
              <w:rPr>
                <w:rFonts w:ascii="宋体" w:hAnsi="宋体" w:eastAsia="宋体" w:cs="宋体"/>
                <w:kern w:val="0"/>
                <w:szCs w:val="21"/>
              </w:rPr>
            </w:pPr>
            <w:r>
              <w:rPr>
                <w:rFonts w:ascii="宋体" w:hAnsi="宋体" w:eastAsia="宋体" w:cs="宋体"/>
                <w:kern w:val="0"/>
                <w:szCs w:val="21"/>
              </w:rPr>
              <w:t>清华大学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李爱民</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54</w:t>
            </w:r>
          </w:p>
        </w:tc>
        <w:tc>
          <w:tcPr>
            <w:tcW w:w="3264" w:type="dxa"/>
            <w:vAlign w:val="center"/>
          </w:tcPr>
          <w:p>
            <w:pPr>
              <w:adjustRightInd w:val="0"/>
              <w:snapToGrid w:val="0"/>
              <w:jc w:val="center"/>
              <w:rPr>
                <w:rFonts w:ascii="宋体" w:hAnsi="宋体" w:eastAsia="宋体" w:cs="宋体"/>
                <w:kern w:val="0"/>
                <w:szCs w:val="21"/>
              </w:rPr>
            </w:pPr>
            <w:r>
              <w:rPr>
                <w:rFonts w:ascii="宋体" w:hAnsi="宋体" w:eastAsia="宋体" w:cs="宋体"/>
                <w:kern w:val="0"/>
                <w:szCs w:val="21"/>
              </w:rPr>
              <w:t>南京大学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吴丰昌</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研究员</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53</w:t>
            </w:r>
          </w:p>
        </w:tc>
        <w:tc>
          <w:tcPr>
            <w:tcW w:w="3264" w:type="dxa"/>
            <w:vAlign w:val="center"/>
          </w:tcPr>
          <w:p>
            <w:pPr>
              <w:adjustRightInd w:val="0"/>
              <w:snapToGrid w:val="0"/>
              <w:jc w:val="center"/>
              <w:rPr>
                <w:rFonts w:ascii="宋体" w:hAnsi="宋体" w:eastAsia="宋体" w:cs="宋体"/>
                <w:kern w:val="0"/>
                <w:szCs w:val="21"/>
              </w:rPr>
            </w:pPr>
            <w:r>
              <w:rPr>
                <w:rFonts w:ascii="宋体" w:hAnsi="宋体" w:eastAsia="宋体" w:cs="宋体"/>
                <w:kern w:val="0"/>
                <w:szCs w:val="21"/>
              </w:rPr>
              <w:t>中国环境科学研究院</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郭进义</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研究员</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54</w:t>
            </w:r>
          </w:p>
        </w:tc>
        <w:tc>
          <w:tcPr>
            <w:tcW w:w="3264" w:type="dxa"/>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国家自然科学基金委 地学部</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周启星</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男</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54</w:t>
            </w:r>
          </w:p>
        </w:tc>
        <w:tc>
          <w:tcPr>
            <w:tcW w:w="3264" w:type="dxa"/>
            <w:vAlign w:val="center"/>
          </w:tcPr>
          <w:p>
            <w:pPr>
              <w:adjustRightInd w:val="0"/>
              <w:snapToGrid w:val="0"/>
              <w:jc w:val="center"/>
              <w:rPr>
                <w:rFonts w:ascii="宋体" w:hAnsi="宋体" w:eastAsia="宋体" w:cs="宋体"/>
                <w:kern w:val="0"/>
                <w:szCs w:val="21"/>
              </w:rPr>
            </w:pPr>
            <w:r>
              <w:rPr>
                <w:rFonts w:ascii="宋体" w:hAnsi="宋体" w:eastAsia="宋体" w:cs="宋体"/>
                <w:kern w:val="0"/>
                <w:szCs w:val="21"/>
              </w:rPr>
              <w:t>南开大学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 w:type="dxa"/>
            <w:vAlign w:val="center"/>
          </w:tcPr>
          <w:p>
            <w:pPr>
              <w:pStyle w:val="19"/>
              <w:numPr>
                <w:ilvl w:val="0"/>
                <w:numId w:val="5"/>
              </w:numPr>
              <w:adjustRightInd w:val="0"/>
              <w:snapToGrid w:val="0"/>
              <w:ind w:firstLineChars="0"/>
              <w:jc w:val="center"/>
              <w:rPr>
                <w:rFonts w:ascii="Times New Roman" w:hAnsi="Times New Roman" w:eastAsia="楷体_GB2312" w:cs="Times New Roman"/>
                <w:sz w:val="24"/>
                <w:szCs w:val="24"/>
              </w:rPr>
            </w:pPr>
          </w:p>
        </w:tc>
        <w:tc>
          <w:tcPr>
            <w:tcW w:w="1126"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孙红文</w:t>
            </w:r>
          </w:p>
        </w:tc>
        <w:tc>
          <w:tcPr>
            <w:tcW w:w="702" w:type="dxa"/>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女</w:t>
            </w:r>
          </w:p>
        </w:tc>
        <w:tc>
          <w:tcPr>
            <w:tcW w:w="933"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教授</w:t>
            </w:r>
          </w:p>
        </w:tc>
        <w:tc>
          <w:tcPr>
            <w:tcW w:w="5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50</w:t>
            </w:r>
          </w:p>
        </w:tc>
        <w:tc>
          <w:tcPr>
            <w:tcW w:w="3264" w:type="dxa"/>
            <w:vAlign w:val="center"/>
          </w:tcPr>
          <w:p>
            <w:pPr>
              <w:adjustRightInd w:val="0"/>
              <w:snapToGrid w:val="0"/>
              <w:jc w:val="center"/>
              <w:rPr>
                <w:rFonts w:ascii="宋体" w:hAnsi="宋体" w:eastAsia="宋体" w:cs="宋体"/>
                <w:kern w:val="0"/>
                <w:szCs w:val="21"/>
              </w:rPr>
            </w:pPr>
            <w:r>
              <w:rPr>
                <w:rFonts w:ascii="宋体" w:hAnsi="宋体" w:eastAsia="宋体" w:cs="宋体"/>
                <w:kern w:val="0"/>
                <w:szCs w:val="21"/>
              </w:rPr>
              <w:t>南开大学</w:t>
            </w:r>
          </w:p>
        </w:tc>
        <w:tc>
          <w:tcPr>
            <w:tcW w:w="1116" w:type="dxa"/>
            <w:vAlign w:val="center"/>
          </w:tcPr>
          <w:p>
            <w:pPr>
              <w:adjustRightInd w:val="0"/>
              <w:snapToGrid w:val="0"/>
              <w:jc w:val="center"/>
              <w:rPr>
                <w:rFonts w:ascii="宋体" w:hAnsi="宋体" w:eastAsia="宋体" w:cs="Times New Roman"/>
                <w:szCs w:val="21"/>
              </w:rPr>
            </w:pPr>
            <w:r>
              <w:rPr>
                <w:rFonts w:ascii="宋体" w:hAnsi="宋体" w:eastAsia="宋体" w:cs="宋体"/>
                <w:szCs w:val="21"/>
              </w:rPr>
              <w:t>否</w:t>
            </w:r>
          </w:p>
        </w:tc>
      </w:tr>
    </w:tbl>
    <w:p>
      <w:pPr>
        <w:adjustRightInd w:val="0"/>
        <w:snapToGrid w:val="0"/>
        <w:spacing w:line="360" w:lineRule="auto"/>
        <w:rPr>
          <w:rFonts w:ascii="Times New Roman" w:hAnsi="Times New Roman" w:eastAsia="黑体" w:cs="Times New Roman"/>
          <w:b/>
          <w:sz w:val="24"/>
          <w:szCs w:val="24"/>
        </w:rPr>
      </w:pPr>
    </w:p>
    <w:p>
      <w:pPr>
        <w:adjustRightInd w:val="0"/>
        <w:snapToGrid w:val="0"/>
        <w:ind w:firstLine="482" w:firstLineChars="200"/>
        <w:rPr>
          <w:rFonts w:ascii="Times New Roman" w:hAnsi="Times New Roman" w:eastAsia="黑体" w:cs="Times New Roman"/>
          <w:b/>
          <w:color w:val="FF0000"/>
          <w:sz w:val="24"/>
          <w:szCs w:val="24"/>
        </w:rPr>
      </w:pPr>
      <w:r>
        <w:rPr>
          <w:rFonts w:ascii="Times New Roman" w:hAnsi="Times New Roman" w:eastAsia="黑体" w:cs="Times New Roman"/>
          <w:b/>
          <w:color w:val="000000"/>
          <w:sz w:val="24"/>
          <w:szCs w:val="24"/>
        </w:rPr>
        <w:t>（2）学术委员会工作情况</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trPr>
        <w:tc>
          <w:tcPr>
            <w:tcW w:w="8302" w:type="dxa"/>
            <w:vAlign w:val="top"/>
          </w:tcPr>
          <w:p>
            <w:pPr>
              <w:adjustRightInd w:val="0"/>
              <w:snapToGrid w:val="0"/>
              <w:ind w:firstLine="420" w:firstLineChars="200"/>
              <w:rPr>
                <w:rFonts w:ascii="宋体" w:hAnsi="宋体" w:eastAsia="宋体" w:cs="等线"/>
                <w:szCs w:val="21"/>
              </w:rPr>
            </w:pPr>
            <w:r>
              <w:rPr>
                <w:rFonts w:ascii="宋体" w:hAnsi="宋体" w:eastAsia="宋体" w:cs="等线"/>
                <w:szCs w:val="21"/>
              </w:rPr>
              <w:t>请简要介绍本年度召开的学术委员会情况，包括召开时间、地点、出席人员、缺席人员，以及会议纪要。</w:t>
            </w:r>
          </w:p>
          <w:p>
            <w:pPr>
              <w:widowControl/>
              <w:shd w:val="clear" w:color="auto" w:fill="FFFFFF"/>
              <w:wordWrap w:val="0"/>
              <w:spacing w:before="100" w:beforeAutospacing="1" w:after="100" w:afterAutospacing="1"/>
              <w:ind w:firstLine="480" w:firstLineChars="200"/>
              <w:jc w:val="left"/>
              <w:rPr>
                <w:rFonts w:ascii="宋体" w:hAnsi="宋体" w:eastAsia="宋体" w:cs="等线"/>
                <w:sz w:val="24"/>
                <w:szCs w:val="24"/>
              </w:rPr>
            </w:pPr>
            <w:r>
              <w:rPr>
                <w:rFonts w:hint="eastAsia" w:ascii="宋体" w:hAnsi="宋体" w:eastAsia="宋体" w:cs="等线"/>
                <w:sz w:val="24"/>
                <w:szCs w:val="24"/>
              </w:rPr>
              <w:t>2017年10月25日，在南开大学环境科学与工程学院召开了环境污染过程与基准教育部重点实验室2017年度学术委员会会议，吉林大学林学钰院士（学术委员会主任）等5位学术委员、南开大学科技处、重点实验室骨干参加了会议。罗义教授（原实验室副主任，现实验室主任）代表重点实验室进行了整体工作汇报，实验室学术骨干汪磊教授、张承东教授、展思辉教授围绕实验室的三个研究方向</w:t>
            </w:r>
            <w:r>
              <w:rPr>
                <w:rFonts w:ascii="宋体" w:hAnsi="宋体" w:eastAsia="宋体" w:cs="等线"/>
                <w:sz w:val="24"/>
                <w:szCs w:val="24"/>
              </w:rPr>
              <w:t>分别作了学术汇报。</w:t>
            </w:r>
            <w:r>
              <w:rPr>
                <w:rFonts w:hint="eastAsia" w:ascii="宋体" w:hAnsi="宋体" w:eastAsia="宋体" w:cs="等线"/>
                <w:sz w:val="24"/>
                <w:szCs w:val="24"/>
              </w:rPr>
              <w:t>学术委员会认真聆听了报告，并查阅了实验室提供的成果，考察了实验室。学术委员会对重点实验室</w:t>
            </w:r>
            <w:r>
              <w:rPr>
                <w:rFonts w:ascii="宋体" w:hAnsi="宋体" w:eastAsia="宋体" w:cs="等线"/>
                <w:sz w:val="24"/>
                <w:szCs w:val="24"/>
              </w:rPr>
              <w:t>最近几年在</w:t>
            </w:r>
            <w:r>
              <w:rPr>
                <w:rFonts w:hint="eastAsia" w:ascii="宋体" w:hAnsi="宋体" w:eastAsia="宋体" w:cs="等线"/>
                <w:sz w:val="24"/>
                <w:szCs w:val="24"/>
              </w:rPr>
              <w:t>科学</w:t>
            </w:r>
            <w:r>
              <w:rPr>
                <w:rFonts w:ascii="宋体" w:hAnsi="宋体" w:eastAsia="宋体" w:cs="等线"/>
                <w:sz w:val="24"/>
                <w:szCs w:val="24"/>
              </w:rPr>
              <w:t>研究</w:t>
            </w:r>
            <w:r>
              <w:rPr>
                <w:rFonts w:hint="eastAsia" w:ascii="宋体" w:hAnsi="宋体" w:eastAsia="宋体" w:cs="等线"/>
                <w:sz w:val="24"/>
                <w:szCs w:val="24"/>
              </w:rPr>
              <w:t>、人才培养、标志性成果的产出等方面取得的成果与进展给予了充分肯定和高度评价。</w:t>
            </w:r>
          </w:p>
          <w:p>
            <w:pPr>
              <w:pStyle w:val="19"/>
              <w:widowControl/>
              <w:shd w:val="clear" w:color="auto" w:fill="FFFFFF"/>
              <w:wordWrap w:val="0"/>
              <w:spacing w:before="100" w:beforeAutospacing="1" w:after="100" w:afterAutospacing="1" w:line="360" w:lineRule="auto"/>
              <w:ind w:left="360" w:firstLine="0" w:firstLineChars="0"/>
              <w:jc w:val="left"/>
              <w:rPr>
                <w:rFonts w:ascii="宋体" w:hAnsi="宋体" w:eastAsia="宋体" w:cs="等线"/>
                <w:sz w:val="24"/>
                <w:szCs w:val="24"/>
              </w:rPr>
            </w:pPr>
            <w:r>
              <w:rPr>
                <w:rFonts w:hint="eastAsia" w:ascii="宋体" w:hAnsi="宋体" w:eastAsia="宋体" w:cs="等线"/>
                <w:sz w:val="24"/>
                <w:szCs w:val="24"/>
              </w:rPr>
              <w:t>建议如下：</w:t>
            </w:r>
          </w:p>
          <w:p>
            <w:pPr>
              <w:pStyle w:val="19"/>
              <w:widowControl/>
              <w:numPr>
                <w:ilvl w:val="0"/>
                <w:numId w:val="6"/>
              </w:numPr>
              <w:shd w:val="clear" w:color="auto" w:fill="FFFFFF"/>
              <w:wordWrap w:val="0"/>
              <w:spacing w:before="100" w:beforeAutospacing="1" w:after="100" w:afterAutospacing="1" w:line="360" w:lineRule="auto"/>
              <w:ind w:firstLineChars="0"/>
              <w:jc w:val="left"/>
              <w:rPr>
                <w:rFonts w:ascii="宋体" w:hAnsi="宋体" w:eastAsia="宋体" w:cs="等线"/>
                <w:sz w:val="24"/>
                <w:szCs w:val="24"/>
              </w:rPr>
            </w:pPr>
            <w:r>
              <w:rPr>
                <w:rFonts w:hint="eastAsia" w:ascii="宋体" w:hAnsi="宋体" w:eastAsia="宋体" w:cs="等线"/>
                <w:sz w:val="24"/>
                <w:szCs w:val="24"/>
              </w:rPr>
              <w:t xml:space="preserve">加强顶层设计，聚焦关键科学问题，争取承担更多国家级重大项目。 </w:t>
            </w:r>
          </w:p>
          <w:p>
            <w:pPr>
              <w:pStyle w:val="19"/>
              <w:widowControl/>
              <w:numPr>
                <w:ilvl w:val="0"/>
                <w:numId w:val="6"/>
              </w:numPr>
              <w:shd w:val="clear" w:color="auto" w:fill="FFFFFF"/>
              <w:wordWrap w:val="0"/>
              <w:spacing w:before="100" w:beforeAutospacing="1" w:after="100" w:afterAutospacing="1" w:line="360" w:lineRule="auto"/>
              <w:ind w:firstLineChars="0"/>
              <w:jc w:val="left"/>
              <w:rPr>
                <w:rFonts w:ascii="宋体" w:hAnsi="宋体" w:eastAsia="宋体" w:cs="等线"/>
                <w:sz w:val="24"/>
                <w:szCs w:val="24"/>
              </w:rPr>
            </w:pPr>
            <w:r>
              <w:rPr>
                <w:rFonts w:ascii="宋体" w:hAnsi="宋体" w:eastAsia="宋体" w:cs="等线"/>
                <w:sz w:val="24"/>
                <w:szCs w:val="24"/>
              </w:rPr>
              <w:t>加强校内外资源的整合</w:t>
            </w:r>
            <w:r>
              <w:rPr>
                <w:rFonts w:hint="eastAsia" w:ascii="宋体" w:hAnsi="宋体" w:eastAsia="宋体" w:cs="等线"/>
                <w:sz w:val="24"/>
                <w:szCs w:val="24"/>
              </w:rPr>
              <w:t>，在国家奖项上取得突破。</w:t>
            </w:r>
          </w:p>
          <w:p>
            <w:pPr>
              <w:spacing w:line="360" w:lineRule="auto"/>
              <w:ind w:firstLine="480" w:firstLineChars="200"/>
              <w:rPr>
                <w:rFonts w:ascii="宋体" w:hAnsi="宋体" w:eastAsia="宋体" w:cs="等线"/>
                <w:sz w:val="24"/>
                <w:szCs w:val="24"/>
              </w:rPr>
            </w:pPr>
            <w:r>
              <w:rPr>
                <w:rFonts w:hint="eastAsia" w:ascii="宋体" w:hAnsi="宋体" w:eastAsia="宋体" w:cs="等线"/>
                <w:sz w:val="24"/>
                <w:szCs w:val="24"/>
              </w:rPr>
              <w:t xml:space="preserve">                             学术委员会主任   林学钰</w:t>
            </w:r>
          </w:p>
          <w:p>
            <w:pPr>
              <w:spacing w:line="360" w:lineRule="auto"/>
              <w:ind w:firstLine="4440" w:firstLineChars="1850"/>
              <w:rPr>
                <w:rFonts w:ascii="宋体" w:hAnsi="宋体" w:eastAsia="宋体" w:cs="等线"/>
                <w:sz w:val="24"/>
                <w:szCs w:val="24"/>
              </w:rPr>
            </w:pPr>
            <w:r>
              <w:rPr>
                <w:rFonts w:hint="eastAsia" w:ascii="宋体" w:hAnsi="宋体" w:eastAsia="宋体" w:cs="等线"/>
                <w:sz w:val="24"/>
                <w:szCs w:val="24"/>
              </w:rPr>
              <w:t>2017年10月25日</w:t>
            </w:r>
          </w:p>
          <w:p>
            <w:pPr>
              <w:adjustRightInd w:val="0"/>
              <w:snapToGrid w:val="0"/>
              <w:ind w:firstLine="420" w:firstLineChars="200"/>
              <w:rPr>
                <w:rFonts w:ascii="宋体" w:hAnsi="宋体" w:eastAsia="宋体" w:cs="等线"/>
                <w:szCs w:val="21"/>
              </w:rPr>
            </w:pPr>
          </w:p>
          <w:p>
            <w:pPr>
              <w:adjustRightInd w:val="0"/>
              <w:snapToGrid w:val="0"/>
              <w:ind w:firstLine="420" w:firstLineChars="200"/>
              <w:rPr>
                <w:rFonts w:ascii="宋体" w:hAnsi="宋体" w:eastAsia="宋体" w:cs="等线"/>
                <w:szCs w:val="21"/>
              </w:rPr>
            </w:pPr>
          </w:p>
          <w:p>
            <w:pPr>
              <w:adjustRightInd w:val="0"/>
              <w:snapToGrid w:val="0"/>
              <w:ind w:firstLine="420" w:firstLineChars="200"/>
              <w:rPr>
                <w:rFonts w:ascii="宋体" w:hAnsi="宋体" w:eastAsia="宋体" w:cs="等线"/>
                <w:szCs w:val="21"/>
              </w:rPr>
            </w:pPr>
          </w:p>
        </w:tc>
      </w:tr>
    </w:tbl>
    <w:p>
      <w:pPr>
        <w:adjustRightInd w:val="0"/>
        <w:snapToGrid w:val="0"/>
        <w:spacing w:line="360" w:lineRule="auto"/>
        <w:rPr>
          <w:rFonts w:ascii="Times New Roman" w:hAnsi="Times New Roman" w:eastAsia="黑体" w:cs="Times New Roman"/>
          <w:b/>
          <w:sz w:val="24"/>
          <w:szCs w:val="24"/>
        </w:rPr>
      </w:pPr>
    </w:p>
    <w:p>
      <w:pPr>
        <w:adjustRightInd w:val="0"/>
        <w:snapToGrid w:val="0"/>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（3）主管部门和依托单位支持情况</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jc w:val="center"/>
        </w:trPr>
        <w:tc>
          <w:tcPr>
            <w:tcW w:w="8302" w:type="dxa"/>
            <w:vAlign w:val="top"/>
          </w:tcPr>
          <w:p>
            <w:pPr>
              <w:adjustRightInd w:val="0"/>
              <w:snapToGrid w:val="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pPr>
              <w:widowControl/>
              <w:shd w:val="clear" w:color="auto" w:fill="FFFFFF"/>
              <w:spacing w:beforeLines="20" w:line="400" w:lineRule="exact"/>
              <w:ind w:firstLine="482"/>
              <w:rPr>
                <w:rFonts w:ascii="宋体" w:hAnsi="宋体" w:eastAsia="宋体"/>
                <w:color w:val="000000"/>
                <w:kern w:val="0"/>
                <w:sz w:val="24"/>
                <w:szCs w:val="24"/>
              </w:rPr>
            </w:pPr>
            <w:r>
              <w:rPr>
                <w:rFonts w:hint="eastAsia" w:ascii="宋体" w:hAnsi="宋体" w:eastAsia="宋体"/>
                <w:color w:val="000000"/>
                <w:kern w:val="0"/>
                <w:sz w:val="24"/>
                <w:szCs w:val="24"/>
              </w:rPr>
              <w:t>依托单位</w:t>
            </w:r>
            <w:r>
              <w:rPr>
                <w:rFonts w:ascii="宋体" w:hAnsi="宋体" w:eastAsia="宋体"/>
                <w:color w:val="000000"/>
                <w:kern w:val="0"/>
                <w:sz w:val="24"/>
                <w:szCs w:val="24"/>
              </w:rPr>
              <w:t>—</w:t>
            </w:r>
            <w:r>
              <w:rPr>
                <w:rFonts w:hint="eastAsia" w:ascii="宋体" w:hAnsi="宋体" w:eastAsia="宋体"/>
                <w:color w:val="000000"/>
                <w:kern w:val="0"/>
                <w:sz w:val="24"/>
                <w:szCs w:val="24"/>
              </w:rPr>
              <w:t>南开大学十分重视本重点实验室的发展，设立重点实验室管理委员会，由主管理科副校长任主任，科技处处长任副主任，每年开会</w:t>
            </w:r>
            <w:r>
              <w:rPr>
                <w:rFonts w:ascii="宋体" w:hAnsi="宋体" w:eastAsia="宋体"/>
                <w:color w:val="000000"/>
                <w:kern w:val="0"/>
                <w:sz w:val="24"/>
                <w:szCs w:val="24"/>
              </w:rPr>
              <w:t>1-2</w:t>
            </w:r>
            <w:r>
              <w:rPr>
                <w:rFonts w:hint="eastAsia" w:ascii="宋体" w:hAnsi="宋体" w:eastAsia="宋体"/>
                <w:color w:val="000000"/>
                <w:kern w:val="0"/>
                <w:sz w:val="24"/>
                <w:szCs w:val="24"/>
              </w:rPr>
              <w:t>次，对实验室的工作进展进行考核，并讨论来年规划。</w:t>
            </w:r>
          </w:p>
          <w:p>
            <w:pPr>
              <w:widowControl/>
              <w:shd w:val="clear" w:color="auto" w:fill="FFFFFF"/>
              <w:spacing w:beforeLines="20" w:line="400" w:lineRule="exact"/>
              <w:ind w:firstLine="482"/>
              <w:rPr>
                <w:rFonts w:ascii="宋体" w:hAnsi="宋体" w:eastAsia="宋体"/>
                <w:color w:val="000000"/>
                <w:kern w:val="0"/>
                <w:sz w:val="24"/>
                <w:szCs w:val="24"/>
              </w:rPr>
            </w:pPr>
            <w:r>
              <w:rPr>
                <w:rFonts w:hint="eastAsia" w:ascii="宋体" w:hAnsi="宋体" w:eastAsia="宋体"/>
                <w:color w:val="000000"/>
                <w:kern w:val="0"/>
                <w:sz w:val="24"/>
                <w:szCs w:val="24"/>
              </w:rPr>
              <w:t>2017年，南开大学提供100万元经费支撑重点实验室日常运行，主要包括实验室日常运转、召开学术委员会会议等会议、小型仪器更新或维修，以及设立主任基金和开放基金，对重点研究方向进行重点培育及对新进教师的科研启动进行扶植。另外，投入400万元学科建设经费用于仪器设备更新，学校还在团队建设、研究生招生等方面提供更多的机会及优惠政策。为了帮助青年教师快速成长，南开大学设立了</w:t>
            </w:r>
            <w:r>
              <w:rPr>
                <w:rFonts w:ascii="宋体" w:hAnsi="宋体" w:eastAsia="宋体"/>
                <w:color w:val="000000"/>
                <w:kern w:val="0"/>
                <w:sz w:val="24"/>
                <w:szCs w:val="24"/>
              </w:rPr>
              <w:t>“</w:t>
            </w:r>
            <w:r>
              <w:rPr>
                <w:rFonts w:hint="eastAsia" w:ascii="宋体" w:hAnsi="宋体" w:eastAsia="宋体"/>
                <w:color w:val="000000"/>
                <w:kern w:val="0"/>
                <w:sz w:val="24"/>
                <w:szCs w:val="24"/>
              </w:rPr>
              <w:t>百名青年学科带头人培养计划</w:t>
            </w:r>
            <w:r>
              <w:rPr>
                <w:rFonts w:ascii="宋体" w:hAnsi="宋体" w:eastAsia="宋体"/>
                <w:color w:val="000000"/>
                <w:kern w:val="0"/>
                <w:sz w:val="24"/>
                <w:szCs w:val="24"/>
              </w:rPr>
              <w:t>”</w:t>
            </w:r>
            <w:r>
              <w:rPr>
                <w:rFonts w:hint="eastAsia" w:ascii="宋体" w:hAnsi="宋体" w:eastAsia="宋体"/>
                <w:color w:val="000000"/>
                <w:kern w:val="0"/>
                <w:sz w:val="24"/>
                <w:szCs w:val="24"/>
              </w:rPr>
              <w:t>，目前全学院有6人入选，均出自本实验室，包括5位在职教师，</w:t>
            </w:r>
            <w:r>
              <w:rPr>
                <w:rFonts w:ascii="宋体" w:hAnsi="宋体" w:eastAsia="宋体"/>
                <w:color w:val="000000"/>
                <w:kern w:val="0"/>
                <w:sz w:val="24"/>
                <w:szCs w:val="24"/>
              </w:rPr>
              <w:t>1</w:t>
            </w:r>
            <w:r>
              <w:rPr>
                <w:rFonts w:hint="eastAsia" w:ascii="宋体" w:hAnsi="宋体" w:eastAsia="宋体"/>
                <w:color w:val="000000"/>
                <w:kern w:val="0"/>
                <w:sz w:val="24"/>
                <w:szCs w:val="24"/>
              </w:rPr>
              <w:t>位引进国家青年千人。学院今年新增3名国家优青也均出自本实验室，从一个方面反映了学校对本实验室的重视，以及本实验室对于学院整体队伍建设所做出的贡献。学校对校内外获得人才称号的教师在原有基础上增加博士生招生名额</w:t>
            </w:r>
            <w:r>
              <w:rPr>
                <w:rFonts w:ascii="宋体" w:hAnsi="宋体" w:eastAsia="宋体"/>
                <w:color w:val="000000"/>
                <w:kern w:val="0"/>
                <w:sz w:val="24"/>
                <w:szCs w:val="24"/>
              </w:rPr>
              <w:t>1</w:t>
            </w:r>
            <w:r>
              <w:rPr>
                <w:rFonts w:hint="eastAsia" w:ascii="宋体" w:hAnsi="宋体" w:eastAsia="宋体"/>
                <w:color w:val="000000"/>
                <w:kern w:val="0"/>
                <w:sz w:val="24"/>
                <w:szCs w:val="24"/>
              </w:rPr>
              <w:t>名。</w:t>
            </w:r>
          </w:p>
          <w:p>
            <w:pPr>
              <w:adjustRightInd w:val="0"/>
              <w:snapToGrid w:val="0"/>
              <w:ind w:firstLine="480" w:firstLineChars="200"/>
              <w:rPr>
                <w:rFonts w:ascii="Times New Roman" w:hAnsi="Times New Roman" w:eastAsia="楷体_GB2312" w:cs="Times New Roman"/>
                <w:sz w:val="24"/>
                <w:szCs w:val="24"/>
              </w:rPr>
            </w:pPr>
          </w:p>
          <w:p>
            <w:pPr>
              <w:adjustRightInd w:val="0"/>
              <w:snapToGrid w:val="0"/>
              <w:ind w:firstLine="480" w:firstLineChars="200"/>
              <w:rPr>
                <w:rFonts w:ascii="Times New Roman" w:hAnsi="Times New Roman" w:eastAsia="楷体_GB2312" w:cs="Times New Roman"/>
                <w:sz w:val="24"/>
                <w:szCs w:val="24"/>
              </w:rPr>
            </w:pPr>
            <w:bookmarkStart w:id="0" w:name="_GoBack"/>
            <w:bookmarkEnd w:id="0"/>
          </w:p>
          <w:p>
            <w:pPr>
              <w:adjustRightInd w:val="0"/>
              <w:snapToGrid w:val="0"/>
              <w:ind w:firstLine="480" w:firstLineChars="20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8"/>
                <w:szCs w:val="24"/>
              </w:rPr>
            </w:pPr>
          </w:p>
        </w:tc>
      </w:tr>
    </w:tbl>
    <w:p>
      <w:pPr>
        <w:adjustRightInd w:val="0"/>
        <w:snapToGrid w:val="0"/>
        <w:rPr>
          <w:rFonts w:ascii="Times New Roman" w:hAnsi="Times New Roman" w:eastAsia="楷体_GB2312" w:cs="Times New Roman"/>
          <w:sz w:val="28"/>
          <w:szCs w:val="24"/>
        </w:rPr>
      </w:pPr>
    </w:p>
    <w:p>
      <w:pPr>
        <w:adjustRightInd w:val="0"/>
        <w:snapToGrid w:val="0"/>
        <w:ind w:firstLine="562" w:firstLineChars="200"/>
        <w:rPr>
          <w:rFonts w:ascii="Times New Roman" w:hAnsi="Times New Roman" w:eastAsia="黑体" w:cs="Times New Roman"/>
          <w:b/>
          <w:sz w:val="28"/>
          <w:szCs w:val="24"/>
        </w:rPr>
      </w:pPr>
      <w:r>
        <w:rPr>
          <w:rFonts w:ascii="Times New Roman" w:hAnsi="Times New Roman" w:eastAsia="黑体" w:cs="Times New Roman"/>
          <w:b/>
          <w:sz w:val="28"/>
          <w:szCs w:val="24"/>
        </w:rPr>
        <w:t>3、仪器设备</w:t>
      </w:r>
    </w:p>
    <w:tbl>
      <w:tblPr>
        <w:tblStyle w:val="17"/>
        <w:tblW w:w="83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8302" w:type="dxa"/>
            <w:vAlign w:val="top"/>
          </w:tcPr>
          <w:p>
            <w:pPr>
              <w:adjustRightInd w:val="0"/>
              <w:snapToGrid w:val="0"/>
              <w:spacing w:beforeLines="50" w:line="300" w:lineRule="atLeas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简述本年度实验室大型仪器设备的使用、开放共享情况，研制新设备和升级改造旧设备等方面的情况。</w:t>
            </w:r>
          </w:p>
          <w:p>
            <w:pPr>
              <w:ind w:firstLine="480" w:firstLineChars="200"/>
              <w:rPr>
                <w:rFonts w:ascii="宋体" w:hAnsi="宋体" w:eastAsia="宋体"/>
                <w:sz w:val="24"/>
                <w:szCs w:val="24"/>
              </w:rPr>
            </w:pPr>
            <w:r>
              <w:rPr>
                <w:rFonts w:hint="eastAsia" w:ascii="宋体" w:hAnsi="宋体" w:eastAsia="宋体"/>
                <w:sz w:val="24"/>
                <w:szCs w:val="24"/>
              </w:rPr>
              <w:t>近年来，我院加大实验室建设力度，五年间购置大中型仪器（20 万以上）5</w:t>
            </w:r>
            <w:r>
              <w:rPr>
                <w:rFonts w:ascii="宋体" w:hAnsi="宋体" w:eastAsia="宋体"/>
                <w:sz w:val="24"/>
                <w:szCs w:val="24"/>
              </w:rPr>
              <w:t>7</w:t>
            </w:r>
            <w:r>
              <w:rPr>
                <w:rFonts w:hint="eastAsia" w:ascii="宋体" w:hAnsi="宋体" w:eastAsia="宋体"/>
                <w:sz w:val="24"/>
                <w:szCs w:val="24"/>
              </w:rPr>
              <w:t>件套，价值3</w:t>
            </w:r>
            <w:r>
              <w:rPr>
                <w:rFonts w:ascii="宋体" w:hAnsi="宋体" w:eastAsia="宋体"/>
                <w:sz w:val="24"/>
                <w:szCs w:val="24"/>
              </w:rPr>
              <w:t>80</w:t>
            </w:r>
            <w:r>
              <w:rPr>
                <w:rFonts w:hint="eastAsia" w:ascii="宋体" w:hAnsi="宋体" w:eastAsia="宋体"/>
                <w:sz w:val="24"/>
                <w:szCs w:val="24"/>
              </w:rPr>
              <w:t>0余万元。2016年新购置20万以上大型仪器</w:t>
            </w:r>
            <w:r>
              <w:rPr>
                <w:rFonts w:ascii="宋体" w:hAnsi="宋体" w:eastAsia="宋体"/>
                <w:sz w:val="24"/>
                <w:szCs w:val="24"/>
              </w:rPr>
              <w:t>24</w:t>
            </w:r>
            <w:r>
              <w:rPr>
                <w:rFonts w:hint="eastAsia" w:ascii="宋体" w:hAnsi="宋体" w:eastAsia="宋体"/>
                <w:sz w:val="24"/>
                <w:szCs w:val="24"/>
              </w:rPr>
              <w:t>件，总价值</w:t>
            </w:r>
            <w:r>
              <w:rPr>
                <w:rFonts w:ascii="宋体" w:hAnsi="宋体" w:eastAsia="宋体"/>
                <w:sz w:val="24"/>
                <w:szCs w:val="24"/>
              </w:rPr>
              <w:t>1825</w:t>
            </w:r>
            <w:r>
              <w:rPr>
                <w:rFonts w:hint="eastAsia" w:ascii="宋体" w:hAnsi="宋体" w:eastAsia="宋体"/>
                <w:sz w:val="24"/>
                <w:szCs w:val="24"/>
              </w:rPr>
              <w:t>万元，包括原子力显微镜、激光</w:t>
            </w:r>
            <w:r>
              <w:rPr>
                <w:rFonts w:ascii="宋体" w:hAnsi="宋体" w:eastAsia="宋体"/>
                <w:sz w:val="24"/>
                <w:szCs w:val="24"/>
              </w:rPr>
              <w:t>共聚焦显微镜、</w:t>
            </w:r>
            <w:r>
              <w:rPr>
                <w:rFonts w:hint="eastAsia" w:ascii="宋体" w:hAnsi="宋体" w:eastAsia="宋体"/>
                <w:sz w:val="24"/>
                <w:szCs w:val="24"/>
              </w:rPr>
              <w:t>光合仪</w:t>
            </w:r>
            <w:r>
              <w:rPr>
                <w:rFonts w:ascii="宋体" w:hAnsi="宋体" w:eastAsia="宋体"/>
                <w:sz w:val="24"/>
                <w:szCs w:val="24"/>
              </w:rPr>
              <w:t>、凝胶净化系统、计算机工作站、流式细胞仪、PCR等，</w:t>
            </w:r>
            <w:r>
              <w:rPr>
                <w:rFonts w:hint="eastAsia" w:ascii="宋体" w:hAnsi="宋体" w:eastAsia="宋体"/>
                <w:sz w:val="24"/>
                <w:szCs w:val="24"/>
              </w:rPr>
              <w:t>覆盖了环境化学、环境生物学、环境工程学等主要领域，为学科</w:t>
            </w:r>
            <w:r>
              <w:rPr>
                <w:rFonts w:ascii="宋体" w:hAnsi="宋体" w:eastAsia="宋体"/>
                <w:sz w:val="24"/>
                <w:szCs w:val="24"/>
              </w:rPr>
              <w:t>建设</w:t>
            </w:r>
            <w:r>
              <w:rPr>
                <w:rFonts w:hint="eastAsia" w:ascii="宋体" w:hAnsi="宋体" w:eastAsia="宋体"/>
                <w:sz w:val="24"/>
                <w:szCs w:val="24"/>
              </w:rPr>
              <w:t>、</w:t>
            </w:r>
            <w:r>
              <w:rPr>
                <w:rFonts w:ascii="宋体" w:hAnsi="宋体" w:eastAsia="宋体"/>
                <w:sz w:val="24"/>
                <w:szCs w:val="24"/>
              </w:rPr>
              <w:t>人才队伍建设、</w:t>
            </w:r>
            <w:r>
              <w:rPr>
                <w:rFonts w:hint="eastAsia" w:ascii="宋体" w:hAnsi="宋体" w:eastAsia="宋体"/>
                <w:sz w:val="24"/>
                <w:szCs w:val="24"/>
              </w:rPr>
              <w:t>科研教学工作</w:t>
            </w:r>
            <w:r>
              <w:rPr>
                <w:rFonts w:ascii="宋体" w:hAnsi="宋体" w:eastAsia="宋体"/>
                <w:sz w:val="24"/>
                <w:szCs w:val="24"/>
              </w:rPr>
              <w:t>等</w:t>
            </w:r>
            <w:r>
              <w:rPr>
                <w:rFonts w:hint="eastAsia" w:ascii="宋体" w:hAnsi="宋体" w:eastAsia="宋体"/>
                <w:sz w:val="24"/>
                <w:szCs w:val="24"/>
              </w:rPr>
              <w:t>提供了高水平的硬件条件。如液相质谱联用仪、多站</w:t>
            </w:r>
            <w:r>
              <w:rPr>
                <w:rFonts w:ascii="宋体" w:hAnsi="宋体" w:eastAsia="宋体"/>
                <w:sz w:val="24"/>
                <w:szCs w:val="24"/>
              </w:rPr>
              <w:t>扩展式比表面积分析仪等</w:t>
            </w:r>
            <w:r>
              <w:rPr>
                <w:rFonts w:hint="eastAsia" w:ascii="宋体" w:hAnsi="宋体" w:eastAsia="宋体"/>
                <w:sz w:val="24"/>
                <w:szCs w:val="24"/>
              </w:rPr>
              <w:t>平均年使用机时超过</w:t>
            </w:r>
            <w:r>
              <w:rPr>
                <w:rFonts w:ascii="宋体" w:hAnsi="宋体" w:eastAsia="宋体"/>
                <w:sz w:val="24"/>
                <w:szCs w:val="24"/>
              </w:rPr>
              <w:t>3</w:t>
            </w:r>
            <w:r>
              <w:rPr>
                <w:rFonts w:hint="eastAsia" w:ascii="宋体" w:hAnsi="宋体" w:eastAsia="宋体"/>
                <w:sz w:val="24"/>
                <w:szCs w:val="24"/>
              </w:rPr>
              <w:t>000小时；红外光谱仪、</w:t>
            </w:r>
            <w:r>
              <w:rPr>
                <w:rFonts w:ascii="宋体" w:hAnsi="宋体" w:eastAsia="宋体"/>
                <w:sz w:val="24"/>
                <w:szCs w:val="24"/>
              </w:rPr>
              <w:t>电感耦合等离子体光谱仪</w:t>
            </w:r>
            <w:r>
              <w:rPr>
                <w:rFonts w:hint="eastAsia" w:ascii="宋体" w:hAnsi="宋体" w:eastAsia="宋体"/>
                <w:sz w:val="24"/>
                <w:szCs w:val="24"/>
              </w:rPr>
              <w:t>，均服务超过</w:t>
            </w:r>
            <w:r>
              <w:rPr>
                <w:rFonts w:ascii="宋体" w:hAnsi="宋体" w:eastAsia="宋体"/>
                <w:sz w:val="24"/>
                <w:szCs w:val="24"/>
              </w:rPr>
              <w:t>10</w:t>
            </w:r>
            <w:r>
              <w:rPr>
                <w:rFonts w:hint="eastAsia" w:ascii="宋体" w:hAnsi="宋体" w:eastAsia="宋体"/>
                <w:sz w:val="24"/>
                <w:szCs w:val="24"/>
              </w:rPr>
              <w:t>年，仍保持良好的测试状态，年测试数千</w:t>
            </w:r>
            <w:r>
              <w:rPr>
                <w:rFonts w:ascii="宋体" w:hAnsi="宋体" w:eastAsia="宋体"/>
                <w:sz w:val="24"/>
                <w:szCs w:val="24"/>
              </w:rPr>
              <w:t>样品</w:t>
            </w:r>
            <w:r>
              <w:rPr>
                <w:rFonts w:hint="eastAsia" w:ascii="宋体" w:hAnsi="宋体" w:eastAsia="宋体"/>
                <w:sz w:val="24"/>
                <w:szCs w:val="24"/>
              </w:rPr>
              <w:t>；这些仪器都为实验室在新兴污染物环境过程研究形成特色提供有力支撑。 这些仪器面向本学院、南开大学、天津市以及全国各个高校和科研单位开放，用于各种复杂基质环境样品的定性分析和定量分析。样品基质包括大气、水、土壤、动物、植物、微生物等，测试项目种类繁多，测试结果良好。其中50万</w:t>
            </w:r>
            <w:r>
              <w:rPr>
                <w:rFonts w:ascii="宋体" w:hAnsi="宋体" w:eastAsia="宋体"/>
                <w:sz w:val="24"/>
                <w:szCs w:val="24"/>
              </w:rPr>
              <w:t>以上</w:t>
            </w:r>
            <w:r>
              <w:rPr>
                <w:rFonts w:hint="eastAsia" w:ascii="宋体" w:hAnsi="宋体" w:eastAsia="宋体"/>
                <w:sz w:val="24"/>
                <w:szCs w:val="24"/>
              </w:rPr>
              <w:t>设备</w:t>
            </w:r>
            <w:r>
              <w:rPr>
                <w:rFonts w:ascii="宋体" w:hAnsi="宋体" w:eastAsia="宋体"/>
                <w:sz w:val="24"/>
                <w:szCs w:val="24"/>
              </w:rPr>
              <w:t>加入科技部共享平台</w:t>
            </w:r>
            <w:r>
              <w:rPr>
                <w:rFonts w:hint="eastAsia" w:ascii="宋体" w:hAnsi="宋体" w:eastAsia="宋体"/>
                <w:sz w:val="24"/>
                <w:szCs w:val="24"/>
              </w:rPr>
              <w:t>；40万以上的设备加入了天津市和校级大型仪器平台，达到网上资源共享。20-40万仪器建立院级平台。在平台网站上，教师本人和已经被授权的学生，可以在网上预约测试、缴纳测试费，大大方便了教师的科研工作。 实验室十分重视仪器的改造与维修，完善了“大型仪器管理办法”，测试费的10%设为大型仪器维修基金。仪器设备在发生故障时，能快速响应，使得仪器完好率达到95%以上。在仪器升级改造方面，开发了元素</w:t>
            </w:r>
            <w:r>
              <w:rPr>
                <w:rFonts w:ascii="宋体" w:hAnsi="宋体" w:eastAsia="宋体"/>
                <w:sz w:val="24"/>
                <w:szCs w:val="24"/>
              </w:rPr>
              <w:t>分析仪氧元素测试功能，</w:t>
            </w:r>
            <w:r>
              <w:rPr>
                <w:rFonts w:hint="eastAsia" w:ascii="宋体" w:hAnsi="宋体" w:eastAsia="宋体"/>
                <w:sz w:val="24"/>
                <w:szCs w:val="24"/>
              </w:rPr>
              <w:t>原子力</w:t>
            </w:r>
            <w:r>
              <w:rPr>
                <w:rFonts w:ascii="宋体" w:hAnsi="宋体" w:eastAsia="宋体"/>
                <w:sz w:val="24"/>
                <w:szCs w:val="24"/>
              </w:rPr>
              <w:t>显微镜压电效应测定</w:t>
            </w:r>
            <w:r>
              <w:rPr>
                <w:rFonts w:hint="eastAsia" w:ascii="宋体" w:hAnsi="宋体" w:eastAsia="宋体"/>
                <w:sz w:val="24"/>
                <w:szCs w:val="24"/>
              </w:rPr>
              <w:t>功能</w:t>
            </w:r>
            <w:r>
              <w:rPr>
                <w:rFonts w:ascii="宋体" w:hAnsi="宋体" w:eastAsia="宋体"/>
                <w:sz w:val="24"/>
                <w:szCs w:val="24"/>
              </w:rPr>
              <w:t>等</w:t>
            </w:r>
            <w:r>
              <w:rPr>
                <w:rFonts w:hint="eastAsia" w:ascii="宋体" w:hAnsi="宋体" w:eastAsia="宋体"/>
                <w:sz w:val="24"/>
                <w:szCs w:val="24"/>
              </w:rPr>
              <w:t>，实验室也非常注重人员的培训和新方法开发，多次邀请仪器工程师进行对仪器日常使用和维护培训，并举办一系列“前沿分析创新与交流”活动，整体上提升了仪器的服务质量。</w:t>
            </w:r>
          </w:p>
        </w:tc>
      </w:tr>
    </w:tbl>
    <w:p>
      <w:pPr>
        <w:adjustRightInd w:val="0"/>
        <w:snapToGrid w:val="0"/>
        <w:spacing w:line="360" w:lineRule="auto"/>
        <w:rPr>
          <w:rFonts w:ascii="Times New Roman" w:hAnsi="Times New Roman" w:eastAsia="黑体" w:cs="Times New Roman"/>
          <w:b/>
          <w:sz w:val="24"/>
          <w:szCs w:val="24"/>
        </w:rPr>
      </w:pPr>
    </w:p>
    <w:p>
      <w:pPr>
        <w:adjustRightInd w:val="0"/>
        <w:snapToGrid w:val="0"/>
        <w:ind w:firstLine="643" w:firstLineChars="200"/>
        <w:rPr>
          <w:rFonts w:ascii="Times New Roman" w:hAnsi="Times New Roman" w:eastAsia="黑体" w:cs="Times New Roman"/>
          <w:b/>
          <w:bCs/>
          <w:sz w:val="32"/>
          <w:szCs w:val="24"/>
        </w:rPr>
      </w:pPr>
      <w:r>
        <w:rPr>
          <w:rFonts w:ascii="Times New Roman" w:hAnsi="Times New Roman" w:eastAsia="黑体" w:cs="Times New Roman"/>
          <w:b/>
          <w:bCs/>
          <w:sz w:val="32"/>
          <w:szCs w:val="24"/>
        </w:rPr>
        <w:t>六、审核意见</w:t>
      </w:r>
    </w:p>
    <w:p>
      <w:pPr>
        <w:adjustRightInd w:val="0"/>
        <w:snapToGrid w:val="0"/>
        <w:ind w:firstLine="562" w:firstLineChars="200"/>
        <w:rPr>
          <w:rFonts w:ascii="Times New Roman" w:hAnsi="Times New Roman" w:eastAsia="楷体_GB2312" w:cs="Times New Roman"/>
          <w:sz w:val="24"/>
          <w:szCs w:val="24"/>
        </w:rPr>
      </w:pPr>
      <w:r>
        <w:rPr>
          <w:rFonts w:ascii="Times New Roman" w:hAnsi="Times New Roman" w:eastAsia="黑体" w:cs="Times New Roman"/>
          <w:b/>
          <w:sz w:val="28"/>
          <w:szCs w:val="24"/>
        </w:rPr>
        <w:t>1、</w:t>
      </w:r>
      <w:r>
        <w:rPr>
          <w:rFonts w:hint="eastAsia" w:ascii="Times New Roman" w:hAnsi="Times New Roman" w:eastAsia="黑体" w:cs="Times New Roman"/>
          <w:b/>
          <w:sz w:val="28"/>
          <w:szCs w:val="24"/>
        </w:rPr>
        <w:t>实验室负责人意见</w:t>
      </w:r>
    </w:p>
    <w:tbl>
      <w:tblPr>
        <w:tblStyle w:val="17"/>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8217" w:type="dxa"/>
            <w:vAlign w:val="top"/>
          </w:tcPr>
          <w:p>
            <w:pPr>
              <w:adjustRightInd w:val="0"/>
              <w:snapToGrid w:val="0"/>
              <w:spacing w:beforeLines="2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实验室承诺所填内容属实，数据准确可靠。</w:t>
            </w: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数据审核人：</w:t>
            </w: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实验室主任：</w:t>
            </w: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（单位公章）</w:t>
            </w: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785" w:rightChars="374"/>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年    月    日</w:t>
            </w:r>
          </w:p>
          <w:p>
            <w:pPr>
              <w:adjustRightInd w:val="0"/>
              <w:snapToGrid w:val="0"/>
              <w:ind w:right="785" w:rightChars="374"/>
              <w:jc w:val="right"/>
              <w:rPr>
                <w:rFonts w:ascii="Times New Roman" w:hAnsi="Times New Roman" w:eastAsia="楷体_GB2312" w:cs="Times New Roman"/>
                <w:sz w:val="24"/>
                <w:szCs w:val="24"/>
              </w:rPr>
            </w:pPr>
          </w:p>
          <w:p>
            <w:pPr>
              <w:adjustRightInd w:val="0"/>
              <w:snapToGrid w:val="0"/>
              <w:ind w:right="785" w:rightChars="374"/>
              <w:jc w:val="right"/>
              <w:rPr>
                <w:rFonts w:ascii="Times New Roman" w:hAnsi="Times New Roman" w:eastAsia="楷体_GB2312" w:cs="Times New Roman"/>
                <w:sz w:val="24"/>
                <w:szCs w:val="24"/>
              </w:rPr>
            </w:pPr>
          </w:p>
        </w:tc>
      </w:tr>
    </w:tbl>
    <w:p>
      <w:pPr>
        <w:adjustRightInd w:val="0"/>
        <w:snapToGrid w:val="0"/>
        <w:ind w:firstLine="562" w:firstLineChars="200"/>
        <w:rPr>
          <w:rFonts w:ascii="Times New Roman" w:hAnsi="Times New Roman" w:eastAsia="黑体" w:cs="Times New Roman"/>
          <w:b/>
          <w:sz w:val="28"/>
          <w:szCs w:val="24"/>
        </w:rPr>
      </w:pPr>
    </w:p>
    <w:p>
      <w:pPr>
        <w:adjustRightInd w:val="0"/>
        <w:snapToGrid w:val="0"/>
        <w:ind w:firstLine="562" w:firstLineChars="200"/>
        <w:rPr>
          <w:rFonts w:ascii="Times New Roman" w:hAnsi="Times New Roman" w:eastAsia="楷体_GB2312" w:cs="Times New Roman"/>
          <w:sz w:val="24"/>
          <w:szCs w:val="24"/>
        </w:rPr>
      </w:pPr>
      <w:r>
        <w:rPr>
          <w:rFonts w:hint="eastAsia" w:ascii="Times New Roman" w:hAnsi="Times New Roman" w:eastAsia="黑体" w:cs="Times New Roman"/>
          <w:b/>
          <w:sz w:val="28"/>
          <w:szCs w:val="24"/>
        </w:rPr>
        <w:t>2</w:t>
      </w:r>
      <w:r>
        <w:rPr>
          <w:rFonts w:ascii="Times New Roman" w:hAnsi="Times New Roman" w:eastAsia="黑体" w:cs="Times New Roman"/>
          <w:b/>
          <w:sz w:val="28"/>
          <w:szCs w:val="24"/>
        </w:rPr>
        <w:t>、</w:t>
      </w:r>
      <w:r>
        <w:rPr>
          <w:rFonts w:hint="eastAsia" w:ascii="Times New Roman" w:hAnsi="Times New Roman" w:eastAsia="黑体" w:cs="Times New Roman"/>
          <w:b/>
          <w:sz w:val="28"/>
          <w:szCs w:val="24"/>
        </w:rPr>
        <w:t>依托高校意见</w:t>
      </w:r>
    </w:p>
    <w:tbl>
      <w:tblPr>
        <w:tblStyle w:val="17"/>
        <w:tblW w:w="83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4" w:hRule="atLeast"/>
        </w:trPr>
        <w:tc>
          <w:tcPr>
            <w:tcW w:w="8302" w:type="dxa"/>
            <w:vAlign w:val="top"/>
          </w:tcPr>
          <w:p>
            <w:pPr>
              <w:adjustRightInd w:val="0"/>
              <w:snapToGrid w:val="0"/>
              <w:spacing w:beforeLines="2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依托单位年度考核意见：</w:t>
            </w:r>
          </w:p>
          <w:p>
            <w:pPr>
              <w:adjustRightInd w:val="0"/>
              <w:snapToGrid w:val="0"/>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w:t>
            </w:r>
            <w:r>
              <w:rPr>
                <w:rFonts w:ascii="宋体" w:hAnsi="宋体" w:eastAsia="宋体"/>
                <w:color w:val="000000"/>
                <w:kern w:val="0"/>
                <w:sz w:val="24"/>
                <w:szCs w:val="24"/>
              </w:rPr>
              <w:t>需明确是</w:t>
            </w:r>
            <w:r>
              <w:rPr>
                <w:rFonts w:hint="eastAsia" w:ascii="宋体" w:hAnsi="宋体" w:eastAsia="宋体"/>
                <w:color w:val="000000"/>
                <w:kern w:val="0"/>
                <w:sz w:val="24"/>
                <w:szCs w:val="24"/>
              </w:rPr>
              <w:t>否</w:t>
            </w:r>
            <w:r>
              <w:rPr>
                <w:rFonts w:ascii="宋体" w:hAnsi="宋体" w:eastAsia="宋体"/>
                <w:color w:val="000000"/>
                <w:kern w:val="0"/>
                <w:sz w:val="24"/>
                <w:szCs w:val="24"/>
              </w:rPr>
              <w:t>通过本年度考核，并提及下一步对实验室的支持。</w:t>
            </w:r>
            <w:r>
              <w:rPr>
                <w:rFonts w:ascii="Times New Roman" w:hAnsi="Times New Roman" w:eastAsia="楷体_GB2312" w:cs="Times New Roman"/>
                <w:sz w:val="24"/>
                <w:szCs w:val="24"/>
              </w:rPr>
              <w:t>）</w:t>
            </w:r>
          </w:p>
          <w:p>
            <w:pPr>
              <w:adjustRightInd w:val="0"/>
              <w:snapToGrid w:val="0"/>
              <w:ind w:firstLine="480" w:firstLineChars="200"/>
              <w:rPr>
                <w:rFonts w:ascii="Times New Roman" w:hAnsi="Times New Roman" w:eastAsia="楷体_GB2312" w:cs="Times New Roman"/>
                <w:sz w:val="24"/>
                <w:szCs w:val="24"/>
              </w:rPr>
            </w:pPr>
          </w:p>
          <w:p>
            <w:pPr>
              <w:widowControl/>
              <w:shd w:val="clear" w:color="auto" w:fill="FFFFFF"/>
              <w:spacing w:beforeLines="20" w:line="400" w:lineRule="exact"/>
              <w:ind w:firstLine="482"/>
              <w:rPr>
                <w:rFonts w:hint="eastAsia" w:ascii="宋体" w:hAnsi="宋体" w:eastAsia="宋体"/>
                <w:color w:val="000000"/>
                <w:kern w:val="0"/>
                <w:sz w:val="24"/>
                <w:szCs w:val="24"/>
                <w:lang w:eastAsia="zh-CN"/>
              </w:rPr>
            </w:pPr>
            <w:r>
              <w:rPr>
                <w:rFonts w:hint="eastAsia" w:ascii="宋体" w:hAnsi="宋体" w:eastAsia="宋体"/>
                <w:color w:val="000000"/>
                <w:kern w:val="0"/>
                <w:sz w:val="24"/>
                <w:szCs w:val="24"/>
              </w:rPr>
              <w:t>通过考核，下一步我校将继续在人财物方面对实验室给予支持</w:t>
            </w:r>
            <w:r>
              <w:rPr>
                <w:rFonts w:hint="eastAsia" w:ascii="宋体" w:hAnsi="宋体" w:eastAsia="宋体"/>
                <w:color w:val="000000"/>
                <w:kern w:val="0"/>
                <w:sz w:val="24"/>
                <w:szCs w:val="24"/>
                <w:lang w:eastAsia="zh-CN"/>
              </w:rPr>
              <w:t>。</w:t>
            </w: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依托单位负责人签字：</w:t>
            </w: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（单位公章）</w:t>
            </w: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1493" w:rightChars="711"/>
              <w:jc w:val="right"/>
              <w:rPr>
                <w:rFonts w:ascii="Times New Roman" w:hAnsi="Times New Roman" w:eastAsia="楷体_GB2312" w:cs="Times New Roman"/>
                <w:sz w:val="24"/>
                <w:szCs w:val="24"/>
              </w:rPr>
            </w:pPr>
          </w:p>
          <w:p>
            <w:pPr>
              <w:adjustRightInd w:val="0"/>
              <w:snapToGrid w:val="0"/>
              <w:ind w:right="785" w:rightChars="374"/>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年    月    日</w:t>
            </w:r>
          </w:p>
        </w:tc>
      </w:tr>
    </w:tbl>
    <w:p>
      <w:pPr>
        <w:rPr>
          <w:rFonts w:ascii="Times New Roman" w:hAnsi="Times New Roman" w:eastAsia="仿宋_GB2312" w:cs="Times New Roman"/>
          <w:b/>
          <w:sz w:val="28"/>
          <w:szCs w:val="30"/>
        </w:rPr>
      </w:pPr>
    </w:p>
    <w:sectPr>
      <w:pgSz w:w="11906" w:h="16838"/>
      <w:pgMar w:top="1440" w:right="1797" w:bottom="1276" w:left="1797" w:header="851" w:footer="680"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__WRD_EMBED_SUB_327">
    <w:altName w:val="微软雅黑"/>
    <w:panose1 w:val="00000000000000000000"/>
    <w:charset w:val="86"/>
    <w:family w:val="auto"/>
    <w:pitch w:val="default"/>
    <w:sig w:usb0="00000000" w:usb1="00000000" w:usb2="00000016" w:usb3="00000000" w:csb0="0004000F" w:csb1="00000000"/>
  </w:font>
  <w:font w:name="___WRD_EMBED_SUB_40">
    <w:altName w:val="宋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42009"/>
    <w:multiLevelType w:val="multilevel"/>
    <w:tmpl w:val="2AA42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B91652"/>
    <w:multiLevelType w:val="multilevel"/>
    <w:tmpl w:val="2BB916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C54F06"/>
    <w:multiLevelType w:val="multilevel"/>
    <w:tmpl w:val="2BC54F06"/>
    <w:lvl w:ilvl="0" w:tentative="0">
      <w:start w:val="1"/>
      <w:numFmt w:val="decimal"/>
      <w:lvlText w:val="%1."/>
      <w:lvlJc w:val="left"/>
      <w:pPr>
        <w:ind w:left="442" w:hanging="420"/>
      </w:pPr>
    </w:lvl>
    <w:lvl w:ilvl="1" w:tentative="0">
      <w:start w:val="1"/>
      <w:numFmt w:val="lowerLetter"/>
      <w:lvlText w:val="%2)"/>
      <w:lvlJc w:val="left"/>
      <w:pPr>
        <w:ind w:left="862" w:hanging="420"/>
      </w:pPr>
    </w:lvl>
    <w:lvl w:ilvl="2" w:tentative="0">
      <w:start w:val="1"/>
      <w:numFmt w:val="lowerRoman"/>
      <w:lvlText w:val="%3."/>
      <w:lvlJc w:val="right"/>
      <w:pPr>
        <w:ind w:left="1282" w:hanging="420"/>
      </w:pPr>
    </w:lvl>
    <w:lvl w:ilvl="3" w:tentative="0">
      <w:start w:val="1"/>
      <w:numFmt w:val="decimal"/>
      <w:lvlText w:val="%4."/>
      <w:lvlJc w:val="left"/>
      <w:pPr>
        <w:ind w:left="1702" w:hanging="420"/>
      </w:pPr>
    </w:lvl>
    <w:lvl w:ilvl="4" w:tentative="0">
      <w:start w:val="1"/>
      <w:numFmt w:val="lowerLetter"/>
      <w:lvlText w:val="%5)"/>
      <w:lvlJc w:val="left"/>
      <w:pPr>
        <w:ind w:left="2122" w:hanging="420"/>
      </w:pPr>
    </w:lvl>
    <w:lvl w:ilvl="5" w:tentative="0">
      <w:start w:val="1"/>
      <w:numFmt w:val="lowerRoman"/>
      <w:lvlText w:val="%6."/>
      <w:lvlJc w:val="right"/>
      <w:pPr>
        <w:ind w:left="2542" w:hanging="420"/>
      </w:pPr>
    </w:lvl>
    <w:lvl w:ilvl="6" w:tentative="0">
      <w:start w:val="1"/>
      <w:numFmt w:val="decimal"/>
      <w:lvlText w:val="%7."/>
      <w:lvlJc w:val="left"/>
      <w:pPr>
        <w:ind w:left="2962" w:hanging="420"/>
      </w:pPr>
    </w:lvl>
    <w:lvl w:ilvl="7" w:tentative="0">
      <w:start w:val="1"/>
      <w:numFmt w:val="lowerLetter"/>
      <w:lvlText w:val="%8)"/>
      <w:lvlJc w:val="left"/>
      <w:pPr>
        <w:ind w:left="3382" w:hanging="420"/>
      </w:pPr>
    </w:lvl>
    <w:lvl w:ilvl="8" w:tentative="0">
      <w:start w:val="1"/>
      <w:numFmt w:val="lowerRoman"/>
      <w:lvlText w:val="%9."/>
      <w:lvlJc w:val="right"/>
      <w:pPr>
        <w:ind w:left="3802" w:hanging="420"/>
      </w:pPr>
    </w:lvl>
  </w:abstractNum>
  <w:abstractNum w:abstractNumId="3">
    <w:nsid w:val="30527786"/>
    <w:multiLevelType w:val="multilevel"/>
    <w:tmpl w:val="305277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2309F6"/>
    <w:multiLevelType w:val="multilevel"/>
    <w:tmpl w:val="332309F6"/>
    <w:lvl w:ilvl="0" w:tentative="0">
      <w:start w:val="1"/>
      <w:numFmt w:val="decimal"/>
      <w:lvlText w:val="%1."/>
      <w:lvlJc w:val="left"/>
      <w:pPr>
        <w:ind w:left="360" w:hanging="360"/>
      </w:pPr>
      <w:rPr>
        <w:rFonts w:hint="default" w:ascii="宋体" w:hAnsi="宋体" w:eastAsia="宋体" w:cs="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9501CA"/>
    <w:multiLevelType w:val="multilevel"/>
    <w:tmpl w:val="379501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BC76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13">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34"/>
    <w:semiHidden/>
    <w:unhideWhenUsed/>
    <w:qFormat/>
    <w:uiPriority w:val="99"/>
    <w:rPr>
      <w:b/>
      <w:bCs/>
    </w:rPr>
  </w:style>
  <w:style w:type="paragraph" w:styleId="3">
    <w:name w:val="annotation text"/>
    <w:basedOn w:val="1"/>
    <w:link w:val="33"/>
    <w:semiHidden/>
    <w:unhideWhenUsed/>
    <w:qFormat/>
    <w:uiPriority w:val="99"/>
    <w:pPr>
      <w:jc w:val="left"/>
    </w:pPr>
  </w:style>
  <w:style w:type="paragraph" w:styleId="4">
    <w:name w:val="Body Text"/>
    <w:basedOn w:val="1"/>
    <w:link w:val="30"/>
    <w:qFormat/>
    <w:uiPriority w:val="0"/>
    <w:pPr>
      <w:adjustRightInd w:val="0"/>
      <w:spacing w:line="312" w:lineRule="atLeast"/>
      <w:jc w:val="center"/>
      <w:textAlignment w:val="baseline"/>
    </w:pPr>
    <w:rPr>
      <w:rFonts w:ascii="Times New Roman" w:hAnsi="Times New Roman" w:eastAsia="宋体" w:cs="Times New Roman"/>
      <w:kern w:val="0"/>
      <w:szCs w:val="20"/>
    </w:rPr>
  </w:style>
  <w:style w:type="paragraph" w:styleId="5">
    <w:name w:val="Body Text Indent"/>
    <w:basedOn w:val="1"/>
    <w:link w:val="23"/>
    <w:qFormat/>
    <w:uiPriority w:val="0"/>
    <w:pPr>
      <w:spacing w:line="520" w:lineRule="exact"/>
      <w:ind w:firstLine="538" w:firstLineChars="192"/>
    </w:pPr>
    <w:rPr>
      <w:rFonts w:ascii="楷体_GB2312" w:hAnsi="Times New Roman" w:eastAsia="楷体_GB2312" w:cs="Times New Roman"/>
      <w:sz w:val="28"/>
      <w:szCs w:val="24"/>
    </w:rPr>
  </w:style>
  <w:style w:type="paragraph" w:styleId="6">
    <w:name w:val="Plain Text"/>
    <w:basedOn w:val="1"/>
    <w:link w:val="22"/>
    <w:qFormat/>
    <w:uiPriority w:val="0"/>
    <w:rPr>
      <w:rFonts w:ascii="宋体" w:hAnsi="Courier New" w:eastAsia="宋体" w:cs="楷体_GB2312"/>
      <w:szCs w:val="21"/>
    </w:rPr>
  </w:style>
  <w:style w:type="paragraph" w:styleId="7">
    <w:name w:val="Body Text Indent 2"/>
    <w:basedOn w:val="1"/>
    <w:link w:val="25"/>
    <w:qFormat/>
    <w:uiPriority w:val="0"/>
    <w:pPr>
      <w:numPr>
        <w:ilvl w:val="0"/>
        <w:numId w:val="0"/>
      </w:numPr>
      <w:spacing w:line="480" w:lineRule="exact"/>
      <w:ind w:firstLine="461" w:firstLineChars="192"/>
    </w:pPr>
    <w:rPr>
      <w:rFonts w:ascii="楷体_GB2312" w:hAnsi="Times New Roman" w:eastAsia="楷体_GB2312" w:cs="Times New Roman"/>
      <w:sz w:val="24"/>
      <w:szCs w:val="24"/>
    </w:rPr>
  </w:style>
  <w:style w:type="paragraph" w:styleId="8">
    <w:name w:val="Balloon Text"/>
    <w:basedOn w:val="1"/>
    <w:link w:val="32"/>
    <w:qFormat/>
    <w:uiPriority w:val="0"/>
    <w:rPr>
      <w:rFonts w:ascii="楷体_GB2312" w:hAnsi="Times New Roman" w:eastAsia="楷体_GB2312" w:cs="Times New Roman"/>
      <w:sz w:val="18"/>
      <w:szCs w:val="18"/>
    </w:rPr>
  </w:style>
  <w:style w:type="paragraph" w:styleId="9">
    <w:name w:val="footer"/>
    <w:basedOn w:val="1"/>
    <w:link w:val="29"/>
    <w:qFormat/>
    <w:uiPriority w:val="99"/>
    <w:pPr>
      <w:tabs>
        <w:tab w:val="center" w:pos="4153"/>
        <w:tab w:val="right" w:pos="8306"/>
      </w:tabs>
      <w:snapToGrid w:val="0"/>
      <w:jc w:val="left"/>
    </w:pPr>
    <w:rPr>
      <w:rFonts w:ascii="楷体_GB2312" w:hAnsi="Times New Roman" w:eastAsia="楷体_GB2312" w:cs="Times New Roman"/>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rFonts w:ascii="楷体_GB2312" w:hAnsi="Times New Roman" w:eastAsia="楷体_GB2312" w:cs="Times New Roman"/>
      <w:sz w:val="18"/>
      <w:szCs w:val="18"/>
    </w:rPr>
  </w:style>
  <w:style w:type="paragraph" w:styleId="11">
    <w:name w:val="toc 1"/>
    <w:basedOn w:val="1"/>
    <w:next w:val="1"/>
    <w:semiHidden/>
    <w:qFormat/>
    <w:uiPriority w:val="0"/>
    <w:rPr>
      <w:rFonts w:ascii="楷体_GB2312" w:hAnsi="Times New Roman" w:eastAsia="楷体_GB2312" w:cs="Times New Roman"/>
      <w:sz w:val="28"/>
      <w:szCs w:val="24"/>
    </w:rPr>
  </w:style>
  <w:style w:type="paragraph" w:styleId="12">
    <w:name w:val="footnote text"/>
    <w:basedOn w:val="1"/>
    <w:link w:val="35"/>
    <w:semiHidden/>
    <w:unhideWhenUsed/>
    <w:uiPriority w:val="99"/>
    <w:pPr>
      <w:snapToGrid w:val="0"/>
      <w:jc w:val="left"/>
    </w:pPr>
    <w:rPr>
      <w:sz w:val="18"/>
      <w:szCs w:val="18"/>
    </w:rPr>
  </w:style>
  <w:style w:type="character" w:styleId="14">
    <w:name w:val="Hyperlink"/>
    <w:uiPriority w:val="99"/>
    <w:rPr>
      <w:rFonts w:cs="Times New Roman"/>
      <w:color w:val="0000FF"/>
      <w:u w:val="single"/>
    </w:rPr>
  </w:style>
  <w:style w:type="character" w:styleId="15">
    <w:name w:val="annotation reference"/>
    <w:basedOn w:val="13"/>
    <w:semiHidden/>
    <w:unhideWhenUsed/>
    <w:uiPriority w:val="99"/>
    <w:rPr>
      <w:sz w:val="21"/>
      <w:szCs w:val="21"/>
    </w:rPr>
  </w:style>
  <w:style w:type="character" w:styleId="16">
    <w:name w:val="footnote reference"/>
    <w:basedOn w:val="13"/>
    <w:semiHidden/>
    <w:unhideWhenUsed/>
    <w:uiPriority w:val="99"/>
    <w:rPr>
      <w:vertAlign w:val="superscript"/>
    </w:rPr>
  </w:style>
  <w:style w:type="paragraph" w:customStyle="1" w:styleId="18">
    <w:name w:val="样式1"/>
    <w:basedOn w:val="11"/>
    <w:uiPriority w:val="0"/>
    <w:rPr>
      <w:rFonts w:ascii="Times New Roman" w:eastAsia="宋体"/>
      <w:sz w:val="21"/>
    </w:rPr>
  </w:style>
  <w:style w:type="paragraph" w:customStyle="1" w:styleId="19">
    <w:name w:val="List Paragraph"/>
    <w:basedOn w:val="1"/>
    <w:qFormat/>
    <w:uiPriority w:val="34"/>
    <w:pPr>
      <w:ind w:firstLine="420" w:firstLineChars="200"/>
    </w:pPr>
  </w:style>
  <w:style w:type="paragraph" w:customStyle="1" w:styleId="20">
    <w:name w:val="No Spacing"/>
    <w:qFormat/>
    <w:uiPriority w:val="1"/>
    <w:pPr>
      <w:widowControl w:val="0"/>
      <w:jc w:val="both"/>
    </w:pPr>
    <w:rPr>
      <w:rFonts w:ascii="等线" w:hAnsi="等线" w:eastAsia="等线" w:cs="黑体"/>
      <w:kern w:val="2"/>
      <w:sz w:val="21"/>
      <w:szCs w:val="22"/>
      <w:lang w:val="en-US" w:eastAsia="zh-CN" w:bidi="ar-SA"/>
    </w:rPr>
  </w:style>
  <w:style w:type="paragraph" w:customStyle="1" w:styleId="21">
    <w:name w:val="Revision"/>
    <w:hidden/>
    <w:semiHidden/>
    <w:uiPriority w:val="99"/>
    <w:rPr>
      <w:rFonts w:ascii="Times New Roman" w:hAnsi="Times New Roman" w:eastAsia="宋体" w:cs="Times New Roman"/>
      <w:lang w:val="en-US" w:eastAsia="zh-CN" w:bidi="ar-SA"/>
    </w:rPr>
  </w:style>
  <w:style w:type="character" w:customStyle="1" w:styleId="22">
    <w:name w:val="纯文本 字符"/>
    <w:basedOn w:val="13"/>
    <w:link w:val="6"/>
    <w:uiPriority w:val="0"/>
    <w:rPr>
      <w:rFonts w:ascii="宋体" w:hAnsi="Courier New" w:eastAsia="宋体" w:cs="楷体_GB2312"/>
      <w:szCs w:val="21"/>
    </w:rPr>
  </w:style>
  <w:style w:type="character" w:customStyle="1" w:styleId="23">
    <w:name w:val="正文文本缩进 字符"/>
    <w:basedOn w:val="13"/>
    <w:link w:val="5"/>
    <w:uiPriority w:val="0"/>
    <w:rPr>
      <w:rFonts w:ascii="楷体_GB2312" w:hAnsi="Times New Roman" w:eastAsia="楷体_GB2312" w:cs="Times New Roman"/>
      <w:sz w:val="28"/>
      <w:szCs w:val="24"/>
    </w:rPr>
  </w:style>
  <w:style w:type="character" w:customStyle="1" w:styleId="24">
    <w:name w:val="正文文本 字符"/>
    <w:basedOn w:val="13"/>
    <w:semiHidden/>
    <w:uiPriority w:val="99"/>
  </w:style>
  <w:style w:type="character" w:customStyle="1" w:styleId="25">
    <w:name w:val="正文文本缩进 2 字符"/>
    <w:basedOn w:val="13"/>
    <w:link w:val="7"/>
    <w:uiPriority w:val="0"/>
    <w:rPr>
      <w:rFonts w:ascii="楷体_GB2312" w:hAnsi="Times New Roman" w:eastAsia="楷体_GB2312" w:cs="Times New Roman"/>
      <w:sz w:val="24"/>
      <w:szCs w:val="24"/>
    </w:rPr>
  </w:style>
  <w:style w:type="character" w:customStyle="1" w:styleId="26">
    <w:name w:val="页眉 字符"/>
    <w:basedOn w:val="13"/>
    <w:semiHidden/>
    <w:uiPriority w:val="99"/>
    <w:rPr>
      <w:sz w:val="18"/>
      <w:szCs w:val="18"/>
    </w:rPr>
  </w:style>
  <w:style w:type="character" w:customStyle="1" w:styleId="27">
    <w:name w:val="页眉 字符1"/>
    <w:link w:val="10"/>
    <w:uiPriority w:val="0"/>
    <w:rPr>
      <w:rFonts w:ascii="楷体_GB2312" w:hAnsi="Times New Roman" w:eastAsia="楷体_GB2312" w:cs="Times New Roman"/>
      <w:sz w:val="18"/>
      <w:szCs w:val="18"/>
    </w:rPr>
  </w:style>
  <w:style w:type="character" w:customStyle="1" w:styleId="28">
    <w:name w:val="页脚 字符"/>
    <w:basedOn w:val="13"/>
    <w:uiPriority w:val="99"/>
    <w:rPr>
      <w:sz w:val="18"/>
      <w:szCs w:val="18"/>
    </w:rPr>
  </w:style>
  <w:style w:type="character" w:customStyle="1" w:styleId="29">
    <w:name w:val="页脚 字符1"/>
    <w:link w:val="9"/>
    <w:uiPriority w:val="99"/>
    <w:rPr>
      <w:rFonts w:ascii="楷体_GB2312" w:hAnsi="Times New Roman" w:eastAsia="楷体_GB2312" w:cs="Times New Roman"/>
      <w:sz w:val="18"/>
      <w:szCs w:val="18"/>
    </w:rPr>
  </w:style>
  <w:style w:type="character" w:customStyle="1" w:styleId="30">
    <w:name w:val="正文文本 字符1"/>
    <w:link w:val="4"/>
    <w:uiPriority w:val="0"/>
    <w:rPr>
      <w:rFonts w:ascii="Times New Roman" w:hAnsi="Times New Roman" w:eastAsia="宋体" w:cs="Times New Roman"/>
      <w:kern w:val="0"/>
      <w:szCs w:val="20"/>
    </w:rPr>
  </w:style>
  <w:style w:type="character" w:customStyle="1" w:styleId="31">
    <w:name w:val="批注框文本 字符"/>
    <w:basedOn w:val="13"/>
    <w:semiHidden/>
    <w:uiPriority w:val="99"/>
    <w:rPr>
      <w:sz w:val="18"/>
      <w:szCs w:val="18"/>
    </w:rPr>
  </w:style>
  <w:style w:type="character" w:customStyle="1" w:styleId="32">
    <w:name w:val="批注框文本 字符1"/>
    <w:link w:val="8"/>
    <w:uiPriority w:val="0"/>
    <w:rPr>
      <w:rFonts w:ascii="楷体_GB2312" w:hAnsi="Times New Roman" w:eastAsia="楷体_GB2312" w:cs="Times New Roman"/>
      <w:sz w:val="18"/>
      <w:szCs w:val="18"/>
    </w:rPr>
  </w:style>
  <w:style w:type="character" w:customStyle="1" w:styleId="33">
    <w:name w:val="批注文字 字符"/>
    <w:basedOn w:val="13"/>
    <w:link w:val="3"/>
    <w:semiHidden/>
    <w:uiPriority w:val="99"/>
  </w:style>
  <w:style w:type="character" w:customStyle="1" w:styleId="34">
    <w:name w:val="批注主题 字符"/>
    <w:basedOn w:val="33"/>
    <w:link w:val="2"/>
    <w:semiHidden/>
    <w:uiPriority w:val="99"/>
    <w:rPr>
      <w:b/>
      <w:bCs/>
    </w:rPr>
  </w:style>
  <w:style w:type="character" w:customStyle="1" w:styleId="35">
    <w:name w:val="脚注文本 字符"/>
    <w:basedOn w:val="13"/>
    <w:link w:val="1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3873</Words>
  <Characters>22080</Characters>
  <Lines>184</Lines>
  <Paragraphs>51</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2018-02-27T06:12:00Z</dcterms:created>
  <dc:creator>邵帅</dc:creator>
  <cp:lastModifiedBy>Lenovo</cp:lastModifiedBy>
  <cp:lastPrinted>2017-03-21T01:57:00Z</cp:lastPrinted>
  <dcterms:modified xsi:type="dcterms:W3CDTF">2018-05-22T02:43:05Z</dcterms:modified>
  <dc:title>批准立项年份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